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Damp and mould policy (2026)</w:t>
      </w:r>
    </w:p>
    <w:p>
      <w:pPr>
        <w:pStyle w:val="Heading2"/>
      </w:pPr>
      <w:r>
        <w:t xml:space="preserve">Our approach</w:t>
      </w:r>
    </w:p>
    <w:p>
      <w:pPr>
        <w:pStyle w:val="Normal"/>
      </w:pPr>
      <w:r>
        <w:t xml:space="preserve">We treat every report of damp or mould seriously and we do not blame tenants for condensation.</w:t>
      </w:r>
    </w:p>
    <w:p>
      <w:pPr>
        <w:pStyle w:val="Heading2"/>
      </w:pPr>
      <w:r>
        <w:t xml:space="preserve">What happens when you report it</w:t>
      </w:r>
    </w:p>
    <w:p>
      <w:pPr>
        <w:pStyle w:val="Normal"/>
      </w:pPr>
      <w:r>
        <w:t xml:space="preserve">A surveyor inspects within 10 working days. Where mould affects a vulnerable household the inspection is within 5 working days.</w:t>
      </w:r>
    </w:p>
    <w:p>
      <w:pPr>
        <w:pStyle w:val="Heading2"/>
      </w:pPr>
      <w:r>
        <w:t xml:space="preserve">Putting it right</w:t>
      </w:r>
    </w:p>
    <w:p>
      <w:pPr>
        <w:pStyle w:val="Normal"/>
      </w:pPr>
      <w:r>
        <w:t xml:space="preserve">We fix the cause, treat the mould and redecorate where needed. We can lend a dehumidifier while works are planned.</w:t>
      </w:r>
    </w:p>
    <w:p>
      <w:pPr>
        <w:pStyle w:val="Heading2"/>
      </w:pPr>
      <w:r>
        <w:t xml:space="preserve">Follow-up</w:t>
      </w:r>
    </w:p>
    <w:p>
      <w:pPr>
        <w:pStyle w:val="Normal"/>
      </w:pPr>
      <w:r>
        <w:t xml:space="preserve">We revisit six weeks after the works to check the problem has not come back.</w:t>
      </w:r>
    </w:p>
    <w:sectPr/>
  </w:body>
</w:document>
</file>