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Temporary moves during major works</w:t>
      </w:r>
    </w:p>
    <w:p>
      <w:pPr>
        <w:pStyle w:val="Normal"/>
      </w:pPr>
      <w:r>
        <w:t xml:space="preserve">Where a home cannot be lived in while major works are done, we offer a temporary move to another of our homes or to a furnished flat.</w:t>
      </w:r>
    </w:p>
    <w:p>
      <w:pPr>
        <w:pStyle w:val="Normal"/>
      </w:pPr>
      <w:r>
        <w:t xml:space="preserve">We pay reasonable removal costs and a disturbance allowance agreed in advance.</w:t>
      </w:r>
    </w:p>
    <w:p>
      <w:pPr>
        <w:pStyle w:val="Normal"/>
      </w:pPr>
      <w:r>
        <w:t xml:space="preserve">The tenant keeps their tenancy and returns when the works are finished.</w:t>
      </w:r>
    </w:p>
    <w:sectPr/>
  </w:body>
</w:document>
</file>