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Thornbeck Homes Repairs Service Standard - 3rd edition (2024)</w:t>
      </w:r>
    </w:p>
    <w:p>
      <w:pPr>
        <w:pStyle w:val="Normal"/>
      </w:pPr>
      <w:r>
        <w:t xml:space="preserve">Approved by the board on 14 March 2024. Applies to repairs completed between 1 April 2024 and 31 March 2026.</w:t>
      </w:r>
    </w:p>
    <w:p>
      <w:pPr>
        <w:pStyle w:val="Heading2"/>
      </w:pPr>
      <w:r>
        <w:t xml:space="preserve">Targets</w:t>
      </w:r>
    </w:p>
    <w:p>
      <w:pPr>
        <w:pStyle w:val="Normal"/>
      </w:pPr>
      <w:r>
        <w:t xml:space="preserve">Emergency repairs within 24 hours; urgent repairs within 5 working days of the job being logged; routine repairs within 20 working days of the job being logged.</w:t>
      </w:r>
    </w:p>
    <w:p>
      <w:pPr>
        <w:pStyle w:val="Heading2"/>
      </w:pPr>
      <w:r>
        <w:t xml:space="preserve">Compensation</w:t>
      </w:r>
    </w:p>
    <w:p>
      <w:pPr>
        <w:pStyle w:val="Normal"/>
      </w:pPr>
      <w:r>
        <w:t xml:space="preserve">Late completion: GBP 10.00 plus GBP 1.00 for each working day late, up to GBP 30.00 a job. Missed appointment: GBP 10.00 each. There is no overall limit per job.</w:t>
      </w:r>
    </w:p>
    <w:p>
      <w:pPr>
        <w:pStyle w:val="Heading2"/>
      </w:pPr>
      <w:r>
        <w:t xml:space="preserve">Payment</w:t>
      </w:r>
    </w:p>
    <w:p>
      <w:pPr>
        <w:pStyle w:val="Normal"/>
      </w:pPr>
      <w:r>
        <w:t xml:space="preserve">Compensation is paid by cheque or bank transfer at the tenant's choice.</w:t>
      </w:r>
    </w:p>
    <w:p>
      <w:pPr>
        <w:pStyle w:val="Heading2"/>
      </w:pPr>
      <w:r>
        <w:t xml:space="preserve">Review</w:t>
      </w:r>
    </w:p>
    <w:p>
      <w:pPr>
        <w:pStyle w:val="Normal"/>
      </w:pPr>
      <w:r>
        <w:t xml:space="preserve">This edition will be reviewed in early 2026 following the tenant panel's comments on the compensation amounts.</w:t>
      </w:r>
    </w:p>
    <w:sectPr/>
  </w:body>
</w:document>
</file>