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Tenant communications policy (2026)</w:t>
      </w:r>
    </w:p>
    <w:p>
      <w:pPr>
        <w:pStyle w:val="Normal"/>
      </w:pPr>
      <w:r>
        <w:t xml:space="preserve">Owner: Head of Customer Services. Last reviewed July 2026.</w:t>
      </w:r>
    </w:p>
    <w:p>
      <w:pPr>
        <w:pStyle w:val="Heading2"/>
      </w:pPr>
      <w:r>
        <w:t xml:space="preserve">1. Our text numbers</w:t>
      </w:r>
    </w:p>
    <w:p>
      <w:pPr>
        <w:pStyle w:val="Normal"/>
      </w:pPr>
      <w:r>
        <w:t xml:space="preserve">We send text messages from two numbers: the repairs line (+44 7700 900010), used for appointment reminders, surveys and repair notices, and the out-of-hours line (+44 7700 900055), used by the out-of-hours service. Replies to either number come into the same text account.</w:t>
      </w:r>
    </w:p>
    <w:p>
      <w:pPr>
        <w:pStyle w:val="Heading2"/>
      </w:pPr>
      <w:r>
        <w:t xml:space="preserve">2. Opting out of texts</w:t>
      </w:r>
    </w:p>
    <w:p>
      <w:pPr>
        <w:pStyle w:val="Normal"/>
      </w:pPr>
      <w:r>
        <w:t xml:space="preserve">2.1 A tenant who replies STOP to any of our text numbers, or who chooses "No texts" on our contact preferences form, has opted out of all text messages from Thornbeck Homes. UNSUBSCRIBE, STOPALL, END and QUIT, sent on their own as a reply, mean the same as STOP. The latest answer a tenant has given us governs.</w:t>
      </w:r>
    </w:p>
    <w:p>
      <w:pPr>
        <w:pStyle w:val="Normal"/>
      </w:pPr>
      <w:r>
        <w:t xml:space="preserve">2.2 A reply that uses the word in an ordinary sentence (for example asking an operative to stop by later) is not an opt-out.</w:t>
      </w:r>
    </w:p>
    <w:p>
      <w:pPr>
        <w:pStyle w:val="Normal"/>
      </w:pPr>
      <w:r>
        <w:t xml:space="preserve">2.3 We never text a tenant who has opted out, not even to confirm good news.</w:t>
      </w:r>
    </w:p>
    <w:p>
      <w:pPr>
        <w:pStyle w:val="Heading2"/>
      </w:pPr>
      <w:r>
        <w:t xml:space="preserve">3. Repair compensation notices</w:t>
      </w:r>
    </w:p>
    <w:p>
      <w:pPr>
        <w:pStyle w:val="Normal"/>
      </w:pPr>
      <w:r>
        <w:t xml:space="preserve">3.1 Every tenant who receives a compensation award is told about it. By default the notice is a text from the repairs line to the tenant's mobile number in the repair register's tenant record.</w:t>
      </w:r>
    </w:p>
    <w:p>
      <w:pPr>
        <w:pStyle w:val="Normal"/>
      </w:pPr>
      <w:r>
        <w:t xml:space="preserve">3.2 A tenant who has opted out of texts gets the notice by email if we hold an email address for them, and otherwise by letter (the post room prints and posts letters at 3pm).</w:t>
      </w:r>
    </w:p>
    <w:p>
      <w:pPr>
        <w:pStyle w:val="Normal"/>
      </w:pPr>
      <w:r>
        <w:t xml:space="preserve">3.3 The notice says the amount, the repair it is for, and whether it will be paid into the tenant's bank account or credited to their rent account. Suggested wording: "Thornbeck Homes: we have awarded you GBP [amount] compensation for repair [job]. It will be [paid into your bank account / credited to your rent account] within 10 working days."</w:t>
      </w:r>
    </w:p>
    <w:p>
      <w:pPr>
        <w:pStyle w:val="Normal"/>
      </w:pPr>
      <w:r>
        <w:t xml:space="preserve">3.4 One notice per award. Do not send a second notice for the same award.</w:t>
      </w:r>
    </w:p>
    <w:p>
      <w:pPr>
        <w:pStyle w:val="Heading2"/>
      </w:pPr>
      <w:r>
        <w:t xml:space="preserve">4. Other contact</w:t>
      </w:r>
    </w:p>
    <w:p>
      <w:pPr>
        <w:pStyle w:val="Normal"/>
      </w:pPr>
      <w:r>
        <w:t xml:space="preserve">Tenants can ask us to call instead of writing; the contact notes on the tenant record show any such request. Housing officers use the tenancy system for anything about the tenancy itself.</w:t>
      </w:r>
    </w:p>
    <w:sectPr/>
  </w:body>
</w:document>
</file>