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Loading crib sheet (office copy)</w:t>
      </w:r>
    </w:p>
    <w:p>
      <w:r>
        <w:t>Quick reference, summer 2025:</w:t>
      </w:r>
    </w:p>
    <w:p>
      <w:pPr>
        <w:pStyle w:val="ListBullet"/>
      </w:pPr>
      <w:r>
        <w:t>Fares: 8.50 a metre for everything.</w:t>
      </w:r>
    </w:p>
    <w:p>
      <w:pPr>
        <w:pStyle w:val="ListBullet"/>
      </w:pPr>
      <w:r>
        <w:t>Hoistable deck 2.30 m, main deck 5.00 m.</w:t>
      </w:r>
    </w:p>
    <w:p>
      <w:pPr>
        <w:pStyle w:val="ListBullet"/>
      </w:pPr>
      <w:r>
        <w:t>No gaps needed between vehicles.</w:t>
      </w:r>
    </w:p>
    <w:p>
      <w:pPr>
        <w:pStyle w:val="ListBullet"/>
      </w:pPr>
      <w:r>
        <w:t>Island traffic gets half off.</w:t>
      </w:r>
    </w:p>
    <w:p>
      <w:pPr>
        <w:pStyle w:val="ListBullet"/>
      </w:pPr>
      <w:r>
        <w:t>Load in booking order, lanes in number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Loading crib sheet (office copy)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