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DLS-4 Deck loading standard, first issue</w:t>
      </w:r>
    </w:p>
    <w:p>
      <w:r>
        <w:rPr>
          <w:i/>
        </w:rPr>
        <w:t>First issue, 2022-03-14. SUPERSEDED by the second issue for sailings on or after 2026-11-09.</w:t>
      </w:r>
    </w:p>
    <w:p>
      <w:r>
        <w:t>Vehicles are loaded in the order the bookings were made, lane by lane in lane-number order from U1 to M5, with no spacing allowance. Hoistable deck clearance 2.30 m, main deck clearance 5.00 m. Dangerous goods may go in any main deck lane.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DLS-4 first issue (superseded)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DLS-4 Deck loading standard, first issue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