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DLS-4 Deck loading standard, MV Garrow Heron, second issue</w:t>
      </w:r>
    </w:p>
    <w:p>
      <w:r>
        <w:t>Second issue. Approved by the marine superintendent on 2026-10-26. Applies to every sailing on or after 2026-11-09. Replaces the first issue in full.</w:t>
      </w:r>
    </w:p>
    <w:p>
      <w:pPr>
        <w:pStyle w:val="Heading1"/>
      </w:pPr>
      <w:r>
        <w:t>1. What is planned</w:t>
      </w:r>
    </w:p>
    <w:p>
      <w:r>
        <w:t>Every vehicle booked on the sailing is planned, together with any vehicle the freight desk books by mail after the bookings list is closed. A vehicle's length, height and weight are those on its booking as amended under the conditions of carriage; where the vehicle has been weighed at the Calderwick weighbridge, its latest reading on the weighbridge readings table replaces the booked weight for every purpose in this standard.</w:t>
      </w:r>
    </w:p>
    <w:p>
      <w:pPr>
        <w:pStyle w:val="Heading1"/>
      </w:pPr>
      <w:r>
        <w:t>2. Loading order</w:t>
      </w:r>
    </w:p>
    <w:p>
      <w:r>
        <w:t>Vehicles are planned one at a time in loading order. Lifeline traffic (Appendix A) comes first, then commercial vehicles (over 3,500 kg or over 6.0 m long), then all other vehicles. Within each group vehicles go in the order their bookings were made, earliest first; a tie goes to the lower booking reference.</w:t>
      </w:r>
    </w:p>
    <w:p>
      <w:pPr>
        <w:pStyle w:val="Heading1"/>
      </w:pPr>
      <w:r>
        <w:t>3. Lanes</w:t>
      </w:r>
    </w:p>
    <w:p>
      <w:r>
        <w:t>Each vehicle goes in the first lane, in the order below, that can take it; once placed it is not moved. A vehicle no lane can take goes to the next sailing. A lane can take a vehicle when the lane's length used so far plus the vehicle's length and the spacing in Appendix B does not exceed the lane's usable length, the vehicle is no higher than the lane's clearance, and every other condition in this section is met.</w:t>
      </w:r>
    </w:p>
    <w:p>
      <w:pPr>
        <w:pStyle w:val="ListBullet"/>
      </w:pPr>
      <w:r>
        <w:t>A vehicle carrying dangerous goods goes only in lane M1, and lane M1 takes nothing else.</w:t>
      </w:r>
    </w:p>
    <w:p>
      <w:pPr>
        <w:pStyle w:val="ListBullet"/>
      </w:pPr>
      <w:r>
        <w:t>A vehicle no higher than the hoistable deck clearance and no heavier than the hoistable deck weight limit (Appendix B) tries the hoistable lanes U1, U2, U3 and U4 first, then the main deck lanes; every other vehicle tries only the main deck lanes.</w:t>
      </w:r>
    </w:p>
    <w:p>
      <w:pPr>
        <w:pStyle w:val="ListBullet"/>
      </w:pPr>
      <w:r>
        <w:t>Main deck lanes are tried in the order M2, M3, M4, M5.</w:t>
      </w:r>
    </w:p>
    <w:p>
      <w:pPr>
        <w:pStyle w:val="ListBullet"/>
      </w:pPr>
      <w:r>
        <w:t>Usable lengths and clearances are those on the vessel deck plan, as changed by the master's latest written notice for the sailing. A lane the chief engineer has put out of use takes nothing.</w:t>
      </w:r>
    </w:p>
    <w:p>
      <w:pPr>
        <w:pStyle w:val="ListBullet"/>
      </w:pPr>
      <w:r>
        <w:t>No vehicle is placed if the total weight of the vehicles already placed plus its own would exceed the vehicle deadweight in Appendix B.</w:t>
      </w:r>
    </w:p>
    <w:p>
      <w:pPr>
        <w:pStyle w:val="Heading1"/>
      </w:pPr>
      <w:r>
        <w:t>4. Dangerous goods</w:t>
      </w:r>
    </w:p>
    <w:p>
      <w:r>
        <w:t>A vehicle carrying dangerous goods is planned only on a shipper's declaration signed by a person who was on the Appendix D register on the date of signing. Without one it is refused. Where the dangerous goods safety adviser named on a declaration corrects its UN number or class in writing before 18:00 on the day before the sailing, the corrected entry is used; nobody else can change it. Two vehicles whose dangerous goods classes are marked 'separate' in Appendix C may not share a lane; the later one in loading order cannot go in that lane.</w:t>
      </w:r>
    </w:p>
    <w:p>
      <w:pPr>
        <w:pStyle w:val="Heading1"/>
      </w:pPr>
      <w:r>
        <w:t>5. Outcomes</w:t>
      </w:r>
    </w:p>
    <w:p>
      <w:r>
        <w:t>Every vehicle has exactly one line in the loading plan, under one of these outcomes, in these words: Loaded; Overflow - next sailing; Refused - outside vessel limits; Refused - DG declaration not valid; Cancelled by customer. A vehicle higher than every lane's clearance is refused as outside vessel limits. Only a line with the outcome Loaded carries a deck, a lane and the fare; every other line carries no deck, no lane and 0.00. A vehicle with no line gets one; a second line for the same booking is removed.</w:t>
      </w:r>
    </w:p>
    <w:p>
      <w:pPr>
        <w:pStyle w:val="Heading1"/>
      </w:pPr>
      <w:r>
        <w:t>6. Deck holds record</w:t>
      </w:r>
    </w:p>
    <w:p>
      <w:r>
        <w:t>Only open items belong on the record. An item comes off once the thing it awaited is on file and valid; an amount is brought into line with finance's latest figure. New items are raised under the kinds 'Overflow - next sailing' (one per vehicle moved, with its booking reference), 'DG declaration not valid' and 'Outside vessel limits' (one per vehicle refused); every other open item stays untouched.</w:t>
      </w:r>
    </w:p>
    <w:p>
      <w:pPr>
        <w:pStyle w:val="Heading1"/>
      </w:pPr>
      <w:r>
        <w:t>Appendix A. Lifeline traffic</w:t>
      </w:r>
    </w:p>
    <w:p>
      <w:pPr>
        <w:pStyle w:val="ListBullet"/>
      </w:pPr>
      <w:r>
        <w:t>fuel for the island (heating oil, kerosene, diesel, gas)</w:t>
      </w:r>
    </w:p>
    <w:p>
      <w:pPr>
        <w:pStyle w:val="ListBullet"/>
      </w:pPr>
      <w:r>
        <w:t>medical supplies and pharmacy orders</w:t>
      </w:r>
    </w:p>
    <w:p>
      <w:pPr>
        <w:pStyle w:val="ListBullet"/>
      </w:pPr>
      <w:r>
        <w:t>livestock</w:t>
      </w:r>
    </w:p>
    <w:p>
      <w:pPr>
        <w:pStyle w:val="ListBullet"/>
      </w:pPr>
      <w:r>
        <w:t>island mail</w:t>
      </w:r>
    </w:p>
    <w:p>
      <w:pPr>
        <w:pStyle w:val="Heading1"/>
      </w:pPr>
      <w:r>
        <w:t>Appendix B. Limits</w:t>
      </w:r>
    </w:p>
    <w:tbl>
      <w:tblPr>
        <w:tblStyle w:val="TableGrid"/>
        <w:tblW w:type="auto" w:w="0"/>
        <w:tblLook w:firstColumn="1" w:firstRow="1" w:lastColumn="0" w:lastRow="0" w:noHBand="0" w:noVBand="1" w:val="04A0"/>
      </w:tblPr>
      <w:tblGrid>
        <w:gridCol w:w="4320"/>
        <w:gridCol w:w="4320"/>
      </w:tblGrid>
      <w:tr>
        <w:tc>
          <w:tcPr>
            <w:tcW w:type="dxa" w:w="4320"/>
          </w:tcPr>
          <w:p>
            <w:r>
              <w:t>Limit</w:t>
            </w:r>
          </w:p>
        </w:tc>
        <w:tc>
          <w:tcPr>
            <w:tcW w:type="dxa" w:w="4320"/>
          </w:tcPr>
          <w:p>
            <w:r>
              <w:t>Value</w:t>
            </w:r>
          </w:p>
        </w:tc>
      </w:tr>
      <w:tr>
        <w:tc>
          <w:tcPr>
            <w:tcW w:type="dxa" w:w="4320"/>
          </w:tcPr>
          <w:p>
            <w:r>
              <w:t>Spacing per vehicle (m)</w:t>
            </w:r>
          </w:p>
        </w:tc>
        <w:tc>
          <w:tcPr>
            <w:tcW w:type="dxa" w:w="4320"/>
          </w:tcPr>
          <w:p>
            <w:r>
              <w:t>0.6</w:t>
            </w:r>
          </w:p>
        </w:tc>
      </w:tr>
      <w:tr>
        <w:tc>
          <w:tcPr>
            <w:tcW w:type="dxa" w:w="4320"/>
          </w:tcPr>
          <w:p>
            <w:r>
              <w:t>Hoistable deck clearance (m)</w:t>
            </w:r>
          </w:p>
        </w:tc>
        <w:tc>
          <w:tcPr>
            <w:tcW w:type="dxa" w:w="4320"/>
          </w:tcPr>
          <w:p>
            <w:r>
              <w:t>2.10</w:t>
            </w:r>
          </w:p>
        </w:tc>
      </w:tr>
      <w:tr>
        <w:tc>
          <w:tcPr>
            <w:tcW w:type="dxa" w:w="4320"/>
          </w:tcPr>
          <w:p>
            <w:r>
              <w:t>Hoistable deck weight limit per vehicle (kg)</w:t>
            </w:r>
          </w:p>
        </w:tc>
        <w:tc>
          <w:tcPr>
            <w:tcW w:type="dxa" w:w="4320"/>
          </w:tcPr>
          <w:p>
            <w:r>
              <w:t>3500</w:t>
            </w:r>
          </w:p>
        </w:tc>
      </w:tr>
      <w:tr>
        <w:tc>
          <w:tcPr>
            <w:tcW w:type="dxa" w:w="4320"/>
          </w:tcPr>
          <w:p>
            <w:r>
              <w:t>Vehicle deadweight (kg)</w:t>
            </w:r>
          </w:p>
        </w:tc>
        <w:tc>
          <w:tcPr>
            <w:tcW w:type="dxa" w:w="4320"/>
          </w:tcPr>
          <w:p>
            <w:r>
              <w:t>290000</w:t>
            </w:r>
          </w:p>
        </w:tc>
      </w:tr>
    </w:tbl>
    <w:p>
      <w:pPr>
        <w:pStyle w:val="Heading1"/>
      </w:pPr>
      <w:r>
        <w:t>Appendix C. Dangerous goods segregation</w:t>
      </w:r>
    </w:p>
    <w:tbl>
      <w:tblPr>
        <w:tblStyle w:val="TableGrid"/>
        <w:tblW w:type="auto" w:w="0"/>
        <w:tblLook w:firstColumn="1" w:firstRow="1" w:lastColumn="0" w:lastRow="0" w:noHBand="0" w:noVBand="1" w:val="04A0"/>
      </w:tblPr>
      <w:tblGrid>
        <w:gridCol w:w="2880"/>
        <w:gridCol w:w="2880"/>
        <w:gridCol w:w="2880"/>
      </w:tblGrid>
      <w:tr>
        <w:tc>
          <w:tcPr>
            <w:tcW w:type="dxa" w:w="2880"/>
          </w:tcPr>
          <w:p>
            <w:r>
              <w:t>Class</w:t>
            </w:r>
          </w:p>
        </w:tc>
        <w:tc>
          <w:tcPr>
            <w:tcW w:type="dxa" w:w="2880"/>
          </w:tcPr>
          <w:p>
            <w:r>
              <w:t>Class</w:t>
            </w:r>
          </w:p>
        </w:tc>
        <w:tc>
          <w:tcPr>
            <w:tcW w:type="dxa" w:w="2880"/>
          </w:tcPr>
          <w:p>
            <w:r>
              <w:t>In the same lane</w:t>
            </w:r>
          </w:p>
        </w:tc>
      </w:tr>
      <w:tr>
        <w:tc>
          <w:tcPr>
            <w:tcW w:type="dxa" w:w="2880"/>
          </w:tcPr>
          <w:p>
            <w:r>
              <w:t>3</w:t>
            </w:r>
          </w:p>
        </w:tc>
        <w:tc>
          <w:tcPr>
            <w:tcW w:type="dxa" w:w="2880"/>
          </w:tcPr>
          <w:p>
            <w:r>
              <w:t>5.1</w:t>
            </w:r>
          </w:p>
        </w:tc>
        <w:tc>
          <w:tcPr>
            <w:tcW w:type="dxa" w:w="2880"/>
          </w:tcPr>
          <w:p>
            <w:r>
              <w:t>separate</w:t>
            </w:r>
          </w:p>
        </w:tc>
      </w:tr>
      <w:tr>
        <w:tc>
          <w:tcPr>
            <w:tcW w:type="dxa" w:w="2880"/>
          </w:tcPr>
          <w:p>
            <w:r>
              <w:t>2.1</w:t>
            </w:r>
          </w:p>
        </w:tc>
        <w:tc>
          <w:tcPr>
            <w:tcW w:type="dxa" w:w="2880"/>
          </w:tcPr>
          <w:p>
            <w:r>
              <w:t>5.1</w:t>
            </w:r>
          </w:p>
        </w:tc>
        <w:tc>
          <w:tcPr>
            <w:tcW w:type="dxa" w:w="2880"/>
          </w:tcPr>
          <w:p>
            <w:r>
              <w:t>separate</w:t>
            </w:r>
          </w:p>
        </w:tc>
      </w:tr>
      <w:tr>
        <w:tc>
          <w:tcPr>
            <w:tcW w:type="dxa" w:w="2880"/>
          </w:tcPr>
          <w:p>
            <w:r>
              <w:t>3</w:t>
            </w:r>
          </w:p>
        </w:tc>
        <w:tc>
          <w:tcPr>
            <w:tcW w:type="dxa" w:w="2880"/>
          </w:tcPr>
          <w:p>
            <w:r>
              <w:t>8</w:t>
            </w:r>
          </w:p>
        </w:tc>
        <w:tc>
          <w:tcPr>
            <w:tcW w:type="dxa" w:w="2880"/>
          </w:tcPr>
          <w:p>
            <w:r>
              <w:t>allowed</w:t>
            </w:r>
          </w:p>
        </w:tc>
      </w:tr>
      <w:tr>
        <w:tc>
          <w:tcPr>
            <w:tcW w:type="dxa" w:w="2880"/>
          </w:tcPr>
          <w:p>
            <w:r>
              <w:t>3</w:t>
            </w:r>
          </w:p>
        </w:tc>
        <w:tc>
          <w:tcPr>
            <w:tcW w:type="dxa" w:w="2880"/>
          </w:tcPr>
          <w:p>
            <w:r>
              <w:t>9</w:t>
            </w:r>
          </w:p>
        </w:tc>
        <w:tc>
          <w:tcPr>
            <w:tcW w:type="dxa" w:w="2880"/>
          </w:tcPr>
          <w:p>
            <w:r>
              <w:t>allowed</w:t>
            </w:r>
          </w:p>
        </w:tc>
      </w:tr>
      <w:tr>
        <w:tc>
          <w:tcPr>
            <w:tcW w:type="dxa" w:w="2880"/>
          </w:tcPr>
          <w:p>
            <w:r>
              <w:t>5.1</w:t>
            </w:r>
          </w:p>
        </w:tc>
        <w:tc>
          <w:tcPr>
            <w:tcW w:type="dxa" w:w="2880"/>
          </w:tcPr>
          <w:p>
            <w:r>
              <w:t>8</w:t>
            </w:r>
          </w:p>
        </w:tc>
        <w:tc>
          <w:tcPr>
            <w:tcW w:type="dxa" w:w="2880"/>
          </w:tcPr>
          <w:p>
            <w:r>
              <w:t>separate</w:t>
            </w:r>
          </w:p>
        </w:tc>
      </w:tr>
      <w:tr>
        <w:tc>
          <w:tcPr>
            <w:tcW w:type="dxa" w:w="2880"/>
          </w:tcPr>
          <w:p>
            <w:r>
              <w:t>8</w:t>
            </w:r>
          </w:p>
        </w:tc>
        <w:tc>
          <w:tcPr>
            <w:tcW w:type="dxa" w:w="2880"/>
          </w:tcPr>
          <w:p>
            <w:r>
              <w:t>9</w:t>
            </w:r>
          </w:p>
        </w:tc>
        <w:tc>
          <w:tcPr>
            <w:tcW w:type="dxa" w:w="2880"/>
          </w:tcPr>
          <w:p>
            <w:r>
              <w:t>allowed</w:t>
            </w:r>
          </w:p>
        </w:tc>
      </w:tr>
    </w:tbl>
    <w:p>
      <w:pPr>
        <w:pStyle w:val="Heading1"/>
      </w:pPr>
      <w:r>
        <w:t>Appendix D. Declaration signatories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Initials</w:t>
            </w:r>
          </w:p>
        </w:tc>
        <w:tc>
          <w:tcPr>
            <w:tcW w:type="dxa" w:w="2160"/>
          </w:tcPr>
          <w:p>
            <w:r>
              <w:t>Name</w:t>
            </w:r>
          </w:p>
        </w:tc>
        <w:tc>
          <w:tcPr>
            <w:tcW w:type="dxa" w:w="2160"/>
          </w:tcPr>
          <w:p>
            <w:r>
              <w:t>Entered on the register</w:t>
            </w:r>
          </w:p>
        </w:tc>
        <w:tc>
          <w:tcPr>
            <w:tcW w:type="dxa" w:w="2160"/>
          </w:tcPr>
          <w:p>
            <w:r>
              <w:t>Struck off the register</w:t>
            </w:r>
          </w:p>
        </w:tc>
      </w:tr>
      <w:tr>
        <w:tc>
          <w:tcPr>
            <w:tcW w:type="dxa" w:w="2160"/>
          </w:tcPr>
          <w:p>
            <w:r>
              <w:t>AM</w:t>
            </w:r>
          </w:p>
        </w:tc>
        <w:tc>
          <w:tcPr>
            <w:tcW w:type="dxa" w:w="2160"/>
          </w:tcPr>
          <w:p>
            <w:r>
              <w:t>A. Moncrieff</w:t>
            </w:r>
          </w:p>
        </w:tc>
        <w:tc>
          <w:tcPr>
            <w:tcW w:type="dxa" w:w="2160"/>
          </w:tcPr>
          <w:p>
            <w:r>
              <w:t>2024-02-01</w:t>
            </w:r>
          </w:p>
        </w:tc>
        <w:tc>
          <w:tcPr>
            <w:tcW w:type="dxa" w:w="2160"/>
          </w:tcPr>
          <w:p>
            <w:r/>
          </w:p>
        </w:tc>
      </w:tr>
      <w:tr>
        <w:tc>
          <w:tcPr>
            <w:tcW w:type="dxa" w:w="2160"/>
          </w:tcPr>
          <w:p>
            <w:r>
              <w:t>RF</w:t>
            </w:r>
          </w:p>
        </w:tc>
        <w:tc>
          <w:tcPr>
            <w:tcW w:type="dxa" w:w="2160"/>
          </w:tcPr>
          <w:p>
            <w:r>
              <w:t>R. Fennimore</w:t>
            </w:r>
          </w:p>
        </w:tc>
        <w:tc>
          <w:tcPr>
            <w:tcW w:type="dxa" w:w="2160"/>
          </w:tcPr>
          <w:p>
            <w:r>
              <w:t>2021-06-14</w:t>
            </w:r>
          </w:p>
        </w:tc>
        <w:tc>
          <w:tcPr>
            <w:tcW w:type="dxa" w:w="2160"/>
          </w:tcPr>
          <w:p>
            <w:r>
              <w:t>2026-11-30</w:t>
            </w:r>
          </w:p>
        </w:tc>
      </w:tr>
      <w:tr>
        <w:tc>
          <w:tcPr>
            <w:tcW w:type="dxa" w:w="2160"/>
          </w:tcPr>
          <w:p>
            <w:r>
              <w:t>JO</w:t>
            </w:r>
          </w:p>
        </w:tc>
        <w:tc>
          <w:tcPr>
            <w:tcW w:type="dxa" w:w="2160"/>
          </w:tcPr>
          <w:p>
            <w:r>
              <w:t>J. Ostrowska</w:t>
            </w:r>
          </w:p>
        </w:tc>
        <w:tc>
          <w:tcPr>
            <w:tcW w:type="dxa" w:w="2160"/>
          </w:tcPr>
          <w:p>
            <w:r>
              <w:t>2026-11-16</w:t>
            </w:r>
          </w:p>
        </w:tc>
        <w:tc>
          <w:tcPr>
            <w:tcW w:type="dxa" w:w="2160"/>
          </w:tcPr>
          <w:p>
            <w:r/>
          </w:p>
        </w:tc>
      </w:tr>
    </w:tbl>
    <w:p>
      <w:r>
        <w:t xml:space="preserve">Closeout register: the first saved loading-plan alteration releases the weighbridge office closeout correction into the weighbridge readings table. The release occurs once. Re-read that register after the first save and rebuild affected provisional placements before notices are sent. Closeout readings replace earlier readings for the same vehicle; apply the existing cut-off and latest-reading rules. Own provisional plan entries may be revised; an entry that remains correct must still be left alone. No customer or tariff change is created by opening closeout.</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DLS-4 second issue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DLS-4 Deck loading standard, MV Garrow Heron, second issue</dc:title>
  <dc:subject/>
  <dc:creator>records</dc:creator>
  <cp:keywords/>
  <dc:description>generated by python-docx</dc:description>
  <cp:lastModifiedBy/>
  <cp:revision>1</cp:revision>
  <dcterms:created xsi:type="dcterms:W3CDTF">2013-12-23T23:15:00Z</dcterms:created>
  <dcterms:modified xsi:type="dcterms:W3CDTF">2013-12-23T23:15:00Z</dcterms:modified>
  <cp:category/>
</cp:coreProperties>
</file>