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T-26 second issue, amendment 1</w:t>
      </w:r>
    </w:p>
    <w:p>
      <w:r>
        <w:t>Published 2026-11-30. Commences 2027-01-04 and applies to sailings on or after that date.</w:t>
      </w:r>
    </w:p>
    <w:p>
      <w:r>
        <w:t>Section 1: the dangerous goods surcharge is raised from 20% to 25% of the length charge.</w:t>
      </w:r>
    </w:p>
    <w:p>
      <w:r>
        <w:rPr>
          <w:i/>
        </w:rPr>
        <w:t>Nothing in this amendment changes the fare on any sailing before 4 January 2027.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Amendment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T-26 second issue, amendment 1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