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T-26 Vehicle tariff, first issue</w:t>
      </w:r>
    </w:p>
    <w:p>
      <w:r>
        <w:rPr>
          <w:i/>
        </w:rPr>
        <w:t>First issue, 2023-04-01. SUPERSEDED by the second issue for sailings on or after 2026-11-09.</w:t>
      </w:r>
    </w:p>
    <w:p>
      <w:r>
        <w:t>Every vehicle pays a flat 8.50 per metre of its length. There is no surcharge and no rebate.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T-26 first issue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T-26 Vehicle tariff, first issue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