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T-26 Vehicle tariff, second issue</w:t>
      </w:r>
    </w:p>
    <w:p>
      <w:r>
        <w:t>Second issue. Approved 2026-10-26. Applies to every sailing on or after 2026-11-09.</w:t>
      </w:r>
    </w:p>
    <w:p>
      <w:pPr>
        <w:pStyle w:val="Heading1"/>
      </w:pPr>
      <w:r>
        <w:t>1. Vehicle fare</w:t>
      </w:r>
    </w:p>
    <w:p>
      <w:r>
        <w:t>The length charge is the charged length times the rate per metre for the vehicle's height band in the table below. The charged length is the vehicle's length rounded up to the next half metre. A vehicle carrying dangerous goods pays a surcharge of 20% of its length charge. Lifeline traffic receives a rebate of 35% of its length charge. Fare = length charge - rebate + surcharge, rounded to the penny, half up.</w:t>
      </w:r>
    </w:p>
    <w:tbl>
      <w:tblPr>
        <w:tblStyle w:val="TableGrid"/>
        <w:tblW w:type="auto" w:w="0"/>
        <w:tblLook w:firstColumn="1" w:firstRow="1" w:lastColumn="0" w:lastRow="0" w:noHBand="0" w:noVBand="1" w:val="04A0"/>
      </w:tblPr>
      <w:tblGrid>
        <w:gridCol w:w="4320"/>
        <w:gridCol w:w="4320"/>
      </w:tblGrid>
      <w:tr>
        <w:tc>
          <w:tcPr>
            <w:tcW w:type="dxa" w:w="4320"/>
          </w:tcPr>
          <w:p>
            <w:r>
              <w:t>Height band</w:t>
            </w:r>
          </w:p>
        </w:tc>
        <w:tc>
          <w:tcPr>
            <w:tcW w:type="dxa" w:w="4320"/>
          </w:tcPr>
          <w:p>
            <w:r>
              <w:t>Rate per metre</w:t>
            </w:r>
          </w:p>
        </w:tc>
      </w:tr>
      <w:tr>
        <w:tc>
          <w:tcPr>
            <w:tcW w:type="dxa" w:w="4320"/>
          </w:tcPr>
          <w:p>
            <w:r>
              <w:t>up to 2.10 m</w:t>
            </w:r>
          </w:p>
        </w:tc>
        <w:tc>
          <w:tcPr>
            <w:tcW w:type="dxa" w:w="4320"/>
          </w:tcPr>
          <w:p>
            <w:r>
              <w:t>7.80</w:t>
            </w:r>
          </w:p>
        </w:tc>
      </w:tr>
      <w:tr>
        <w:tc>
          <w:tcPr>
            <w:tcW w:type="dxa" w:w="4320"/>
          </w:tcPr>
          <w:p>
            <w:r>
              <w:t>over 2.10 m up to 3.00 m</w:t>
            </w:r>
          </w:p>
        </w:tc>
        <w:tc>
          <w:tcPr>
            <w:tcW w:type="dxa" w:w="4320"/>
          </w:tcPr>
          <w:p>
            <w:r>
              <w:t>9.60</w:t>
            </w:r>
          </w:p>
        </w:tc>
      </w:tr>
      <w:tr>
        <w:tc>
          <w:tcPr>
            <w:tcW w:type="dxa" w:w="4320"/>
          </w:tcPr>
          <w:p>
            <w:r>
              <w:t>over 3.00 m</w:t>
            </w:r>
          </w:p>
        </w:tc>
        <w:tc>
          <w:tcPr>
            <w:tcW w:type="dxa" w:w="4320"/>
          </w:tcPr>
          <w:p>
            <w:r>
              <w:t>12.40</w:t>
            </w:r>
          </w:p>
        </w:tc>
      </w:tr>
    </w:tbl>
    <w:p>
      <w:r>
        <w:rPr>
          <w:i/>
        </w:rPr>
        <w:t>Only a vehicle loaded on the sailing is charged on it; a vehicle moved to a later sailing is charged on that sailing.</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T-26 second issue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T-26 Vehicle tariff, second issue</dc:title>
  <dc:subject/>
  <dc:creator>records</dc:creator>
  <cp:keywords/>
  <dc:description>generated by python-docx</dc:description>
  <cp:lastModifiedBy/>
  <cp:revision>1</cp:revision>
  <dcterms:created xsi:type="dcterms:W3CDTF">2013-12-23T23:15:00Z</dcterms:created>
  <dcterms:modified xsi:type="dcterms:W3CDTF">2013-12-23T23:15:00Z</dcterms:modified>
  <cp:category/>
</cp:coreProperties>
</file>