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Scope of the home book's event return</w:t>
      </w:r>
    </w:p>
    <w:p>
      <w:r>
        <w:t>The event return covers claims on policies Ashgrove writes and manages itself. Claims on policies written under a delegated-authority binder (currently only Harlow Building Society, DA-HBS-2026) are reported on the binder's own bordereau to the reinsurer, even when Ashgrove's adjusters handled them and they appear in our ledger.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the home book's event return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