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return pack specification</w:t>
      </w:r>
    </w:p>
    <w:p>
      <w:r>
        <w:t>An event return pack carries: the net incurred reserve in pounds, in full; a bridge from the claimant estimates on the ledger pages to the reserve, with a step for each excluded class and a closing step from claimant estimates to the assessed net reserve; a split of the reserve by damage group (roof; structural: chimney, tree and gable; other); and a table listing all register lines with claim, page, deciding rule, heading and net reserve. It must open without a network. The as-at date of the Storm Imogen return is 19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return pack specification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