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reserve return: Storm Henk 2025 (as published)</w:t>
      </w:r>
    </w:p>
    <w:p>
      <w:r>
        <w:t>Headline: £412,880.00 net incurred (claimant estimate basis, first edition method).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Damage group</w:t>
            </w:r>
          </w:p>
        </w:tc>
        <w:tc>
          <w:tcPr>
            <w:tcW w:type="dxa" w:w="4320"/>
          </w:tcPr>
          <w:p>
            <w:r>
              <w:t>Reserve</w:t>
            </w:r>
          </w:p>
        </w:tc>
      </w:tr>
      <w:tr>
        <w:tc>
          <w:tcPr>
            <w:tcW w:type="dxa" w:w="4320"/>
          </w:tcPr>
          <w:p>
            <w:r>
              <w:t>Roof</w:t>
            </w:r>
          </w:p>
        </w:tc>
        <w:tc>
          <w:tcPr>
            <w:tcW w:type="dxa" w:w="4320"/>
          </w:tcPr>
          <w:p>
            <w:r>
              <w:t>£201,300.00</w:t>
            </w:r>
          </w:p>
        </w:tc>
      </w:tr>
      <w:tr>
        <w:tc>
          <w:tcPr>
            <w:tcW w:type="dxa" w:w="4320"/>
          </w:tcPr>
          <w:p>
            <w:r>
              <w:t>Structural</w:t>
            </w:r>
          </w:p>
        </w:tc>
        <w:tc>
          <w:tcPr>
            <w:tcW w:type="dxa" w:w="4320"/>
          </w:tcPr>
          <w:p>
            <w:r>
              <w:t>£131,040.00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£80,540.00</w:t>
            </w:r>
          </w:p>
        </w:tc>
      </w:tr>
    </w:tbl>
    <w:p>
      <w:r>
        <w:rPr>
          <w:i/>
        </w:rPr>
        <w:t>Prepared under AM-CAT-03 first edition.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reserve return: Storm Henk 2025 (as published)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