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AM-CAT-03 second edition, corrigendum 1</w:t>
      </w:r>
    </w:p>
    <w:p>
      <w:r>
        <w:t>Issued 12 October 2026. It takes effect on 1 November 2026, so only losses from that day onward fall under it.</w:t>
      </w:r>
    </w:p>
    <w:p>
      <w:r>
        <w:t>Appendix C: the storm compulsory excess is raised from £400 to £500 following the reinsurance renewal.</w:t>
      </w:r>
    </w:p>
    <w:p>
      <w:r>
        <w:rPr>
          <w:i/>
        </w:rPr>
        <w:t>Nothing in this corrigendum changes the reserve on any loss occurring before 2026-11-01.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Corrigendum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AM-CAT-03 second edition, corrigendum 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