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AM-CAT-03 Catastrophe event reserve return, first edition</w:t>
      </w:r>
    </w:p>
    <w:p>
      <w:r>
        <w:rPr>
          <w:i/>
        </w:rPr>
        <w:t>First edition, 2024-02-01. SUPERSEDED by the second edition for events beginning on or after 2026-08-01.</w:t>
      </w:r>
    </w:p>
    <w:p>
      <w:r>
        <w:t>The return states the claimant estimates notified in the event. The notification date decides the event. The status column speaks for a claim. Repair estimates are taken as stated. Average applies to any shortfall of sum insured below rebuild cost. Contents are taken at replacement value. The storm excess is £250. Recoveries are not deducted.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AM-CAT-03 first edition (superseded)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AM-CAT-03 Catastrophe event reserve return, first edition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