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AM-CAT-03 Catastrophe event reserve return, second edition</w:t>
      </w:r>
    </w:p>
    <w:p>
      <w:r>
        <w:t>Issued as the second edition on 15 July 2026 for every catastrophe event that begins on or after 1 August 2026; the first edition no longer applies to any such event.</w:t>
      </w:r>
    </w:p>
    <w:p>
      <w:pPr>
        <w:pStyle w:val="Heading1"/>
      </w:pPr>
      <w:r>
        <w:t>1. Contents of the return</w:t>
      </w:r>
    </w:p>
    <w:p>
      <w:r>
        <w:t>This return gives the net incurred reserve, in pounds, on the home book's claims that belong to the event: not claimant estimates, not gross repair figures, not a count of claims. A claim belongs to the event when its loss time falls inside the event period fixed by the catastrophe team; where the catastrophe team revises the period in writing, its latest revision governs. The loss time is the one the ledger last records for the claim: a claimant's correction replaces the time first notified. The time the claim was notified and the day its entry arrived at the ledger desk have no bearing on it.</w:t>
      </w:r>
    </w:p>
    <w:p>
      <w:pPr>
        <w:pStyle w:val="Heading1"/>
      </w:pPr>
      <w:r>
        <w:t>2. Which entry speaks for a claim</w:t>
      </w:r>
    </w:p>
    <w:p>
      <w:r>
        <w:t>A claim's entries are taken in EVENT TIME order, and the latest status entry by event time (RESERVE SET, DECLINED, REOPENED, WITHDRAWN or MERGED) speaks for the claim, whatever was filed after it: a claim whose latest status is DECLINED, WITHDRAWN or MERGED is not counted. A REOPENED entry after a DECLINED one counts only when a signed claims review decision overturning the decline is on file; if two signed review decisions point different ways, follow the one with the more recent date. A claim merged into another is returned once, under the claim that carries it. The same loss notified twice is a duplicate even before the ledger records a MERGED entry, once the policyholder has confirmed in writing (by mail, on the claim's ticket or in the web chat) that two claim numbers are the same loss: the later-notified number is then treated as merged into the earlier one.</w:t>
      </w:r>
    </w:p>
    <w:p>
      <w:pPr>
        <w:pStyle w:val="Heading1"/>
      </w:pPr>
      <w:r>
        <w:t>3. Conditions</w:t>
      </w:r>
    </w:p>
    <w:p>
      <w:pPr>
        <w:pStyle w:val="ListBullet"/>
      </w:pPr>
      <w:r>
        <w:t>Cover: the policy must be in force at the loss time. A policy underwriting has lapsed is not in force from the lapse date, whatever the operations base shows, unless underwriting has reinstated it with continuous cover.</w:t>
      </w:r>
    </w:p>
    <w:p>
      <w:pPr>
        <w:pStyle w:val="ListBullet"/>
      </w:pPr>
      <w:r>
        <w:t>Storm: the event covers storm damage only. A loss is storm damage when the weather station assigned to the property's postcode district on the weather station plan recorded a gust at or above the Appendix E threshold on the day of the loss; otherwise the claim is declined as not a storm.</w:t>
      </w:r>
    </w:p>
    <w:p>
      <w:pPr>
        <w:pStyle w:val="ListBullet"/>
      </w:pPr>
      <w:r>
        <w:t>Reserve authority: where the RESERVE SET entry says 'reserve authority attached', the reserve stands only on a reserve authority certificate carrying the signature of someone listed on the Appendix D register on the day they signed it. A certificate with no signature, or signed by someone the register did not list that day, leaves the reserve unauthorised.</w:t>
      </w:r>
    </w:p>
    <w:p>
      <w:pPr>
        <w:pStyle w:val="ListBullet"/>
      </w:pPr>
      <w:r>
        <w:t>Scope: claims written under a delegated-authority binder belong to that binder's own bordereau (see the binder scope memo).</w:t>
      </w:r>
    </w:p>
    <w:p>
      <w:pPr>
        <w:pStyle w:val="Heading1"/>
      </w:pPr>
      <w:r>
        <w:t>4. The reserve for a claim, in this order</w:t>
      </w:r>
    </w:p>
    <w:p>
      <w:pPr>
        <w:pStyle w:val="ListNumber"/>
      </w:pPr>
      <w:r>
        <w:t>Buildings loss: desk F states the repair estimate ex VAT, which is brought to a VAT-inclusive figure at the Appendix C rate; desk D states it inc VAT. Where the adjuster who assessed the claim has since revised the buildings repair estimate in an internal note on the claim's ticket, dated on or before 19 October 2026, the revised estimate replaces the ledger's figure on the same basis.</w:t>
      </w:r>
    </w:p>
    <w:p>
      <w:pPr>
        <w:pStyle w:val="ListNumber"/>
      </w:pPr>
      <w:r>
        <w:t>Average: where the buildings sum insured is below the Appendix C average threshold times the rebuild cost, the buildings loss is scaled by sum insured / rebuild cost. The rebuild cost is the latest valuation on or before the loss date for the property's UPRN (rebuild valuations, joined to the policy through the property manifest).</w:t>
      </w:r>
    </w:p>
    <w:p>
      <w:pPr>
        <w:pStyle w:val="ListNumber"/>
      </w:pPr>
      <w:r>
        <w:t>Contents: each replacement value is reduced for wear and tear by the Appendix B rate per whole year of age, never by more than the category cap. Where contents were not totalled, the tally sheet's items are each depreciated and summed.</w:t>
      </w:r>
    </w:p>
    <w:p>
      <w:pPr>
        <w:pStyle w:val="ListNumber"/>
      </w:pPr>
      <w:r>
        <w:t>Gross loss = buildings loss after average + contents after wear and tear. If the gross loss is not above the excess (policy excess + the Appendix C storm compulsory excess) the claim is below the excess and carries no reserve.</w:t>
      </w:r>
    </w:p>
    <w:p>
      <w:pPr>
        <w:pStyle w:val="ListNumber"/>
      </w:pPr>
      <w:r>
        <w:t>Net reserve = gross loss - excess - recoveries received on or before the as-at date (recoveries log, joined to the claim through the payment manifest). Every step is rounded to the penny; the reserve to 0.01.</w:t>
      </w:r>
    </w:p>
    <w:p>
      <w:pPr>
        <w:pStyle w:val="Heading1"/>
      </w:pPr>
      <w:r>
        <w:t>5. Register headings</w:t>
      </w:r>
    </w:p>
    <w:p>
      <w:r>
        <w:t>Each event register line shows one heading only, worded exactly as follows: Counted in the event; Outside the event window; Not covered; Declined; Withdrawn; Merged into another claim; Below the excess; Reserve not authorised; Not this book's event. Only a line headed Counted in the event carries a net reserve; every other line carries 0.00.</w:t>
      </w:r>
    </w:p>
    <w:p>
      <w:pPr>
        <w:pStyle w:val="Heading1"/>
      </w:pPr>
      <w:r>
        <w:t>Appendix B. Wear and tear on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Rate per whole year of age</w:t>
            </w:r>
          </w:p>
        </w:tc>
        <w:tc>
          <w:tcPr>
            <w:tcW w:type="dxa" w:w="2880"/>
          </w:tcPr>
          <w:p>
            <w:r>
              <w:t>Cap</w:t>
            </w:r>
          </w:p>
        </w:tc>
      </w:tr>
      <w:tr>
        <w:tc>
          <w:tcPr>
            <w:tcW w:type="dxa" w:w="2880"/>
          </w:tcPr>
          <w:p>
            <w:r>
              <w:t>Electricals</w:t>
            </w:r>
          </w:p>
        </w:tc>
        <w:tc>
          <w:tcPr>
            <w:tcW w:type="dxa" w:w="2880"/>
          </w:tcPr>
          <w:p>
            <w:r>
              <w:t>12%</w:t>
            </w:r>
          </w:p>
        </w:tc>
        <w:tc>
          <w:tcPr>
            <w:tcW w:type="dxa" w:w="2880"/>
          </w:tcPr>
          <w:p>
            <w:r>
              <w:t>60%</w:t>
            </w:r>
          </w:p>
        </w:tc>
      </w:tr>
      <w:tr>
        <w:tc>
          <w:tcPr>
            <w:tcW w:type="dxa" w:w="2880"/>
          </w:tcPr>
          <w:p>
            <w:r>
              <w:t>Furniture</w:t>
            </w:r>
          </w:p>
        </w:tc>
        <w:tc>
          <w:tcPr>
            <w:tcW w:type="dxa" w:w="2880"/>
          </w:tcPr>
          <w:p>
            <w:r>
              <w:t>6%</w:t>
            </w:r>
          </w:p>
        </w:tc>
        <w:tc>
          <w:tcPr>
            <w:tcW w:type="dxa" w:w="2880"/>
          </w:tcPr>
          <w:p>
            <w:r>
              <w:t>50%</w:t>
            </w:r>
          </w:p>
        </w:tc>
      </w:tr>
      <w:tr>
        <w:tc>
          <w:tcPr>
            <w:tcW w:type="dxa" w:w="2880"/>
          </w:tcPr>
          <w:p>
            <w:r>
              <w:t>Clothing and textiles</w:t>
            </w:r>
          </w:p>
        </w:tc>
        <w:tc>
          <w:tcPr>
            <w:tcW w:type="dxa" w:w="2880"/>
          </w:tcPr>
          <w:p>
            <w:r>
              <w:t>20%</w:t>
            </w:r>
          </w:p>
        </w:tc>
        <w:tc>
          <w:tcPr>
            <w:tcW w:type="dxa" w:w="2880"/>
          </w:tcPr>
          <w:p>
            <w:r>
              <w:t>80%</w:t>
            </w:r>
          </w:p>
        </w:tc>
      </w:tr>
      <w:tr>
        <w:tc>
          <w:tcPr>
            <w:tcW w:type="dxa" w:w="2880"/>
          </w:tcPr>
          <w:p>
            <w:r>
              <w:t>Other contents</w:t>
            </w:r>
          </w:p>
        </w:tc>
        <w:tc>
          <w:tcPr>
            <w:tcW w:type="dxa" w:w="2880"/>
          </w:tcPr>
          <w:p>
            <w:r>
              <w:t>8%</w:t>
            </w:r>
          </w:p>
        </w:tc>
        <w:tc>
          <w:tcPr>
            <w:tcW w:type="dxa" w:w="2880"/>
          </w:tcPr>
          <w:p>
            <w:r>
              <w:t>50%</w:t>
            </w:r>
          </w:p>
        </w:tc>
      </w:tr>
    </w:tbl>
    <w:p>
      <w:pPr>
        <w:pStyle w:val="Heading1"/>
      </w:pPr>
      <w:r>
        <w:t>Appendix C. Rates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VAT on building repairs</w:t>
            </w:r>
          </w:p>
        </w:tc>
        <w:tc>
          <w:tcPr>
            <w:tcW w:type="dxa" w:w="4320"/>
          </w:tcPr>
          <w:p>
            <w:r>
              <w:t>20%</w:t>
            </w:r>
          </w:p>
        </w:tc>
      </w:tr>
      <w:tr>
        <w:tc>
          <w:tcPr>
            <w:tcW w:type="dxa" w:w="4320"/>
          </w:tcPr>
          <w:p>
            <w:r>
              <w:t>Average threshold (sum insured / rebuild cost)</w:t>
            </w:r>
          </w:p>
        </w:tc>
        <w:tc>
          <w:tcPr>
            <w:tcW w:type="dxa" w:w="4320"/>
          </w:tcPr>
          <w:p>
            <w:r>
              <w:t>85%</w:t>
            </w:r>
          </w:p>
        </w:tc>
      </w:tr>
      <w:tr>
        <w:tc>
          <w:tcPr>
            <w:tcW w:type="dxa" w:w="4320"/>
          </w:tcPr>
          <w:p>
            <w:r>
              <w:t>Storm compulsory excess</w:t>
            </w:r>
          </w:p>
        </w:tc>
        <w:tc>
          <w:tcPr>
            <w:tcW w:type="dxa" w:w="4320"/>
          </w:tcPr>
          <w:p>
            <w:r>
              <w:t>£400</w:t>
            </w:r>
          </w:p>
        </w:tc>
      </w:tr>
    </w:tbl>
    <w:p>
      <w:pPr>
        <w:pStyle w:val="Heading1"/>
      </w:pPr>
      <w:r>
        <w:t>Appendix D. Reserve authority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Initials</w:t>
            </w:r>
          </w:p>
        </w:tc>
        <w:tc>
          <w:tcPr>
            <w:tcW w:type="dxa" w:w="2160"/>
          </w:tcPr>
          <w:p>
            <w:r>
              <w:t>Name</w:t>
            </w:r>
          </w:p>
        </w:tc>
        <w:tc>
          <w:tcPr>
            <w:tcW w:type="dxa" w:w="2160"/>
          </w:tcPr>
          <w:p>
            <w:r>
              <w:t>Listed from</w:t>
            </w:r>
          </w:p>
        </w:tc>
        <w:tc>
          <w:tcPr>
            <w:tcW w:type="dxa" w:w="2160"/>
          </w:tcPr>
          <w:p>
            <w:r>
              <w:t>Delisted on</w:t>
            </w:r>
          </w:p>
        </w:tc>
      </w:tr>
      <w:tr>
        <w:tc>
          <w:tcPr>
            <w:tcW w:type="dxa" w:w="2160"/>
          </w:tcPr>
          <w:p>
            <w:r>
              <w:t>SH</w:t>
            </w:r>
          </w:p>
        </w:tc>
        <w:tc>
          <w:tcPr>
            <w:tcW w:type="dxa" w:w="2160"/>
          </w:tcPr>
          <w:p>
            <w:r>
              <w:t>S. Hale</w:t>
            </w:r>
          </w:p>
        </w:tc>
        <w:tc>
          <w:tcPr>
            <w:tcW w:type="dxa" w:w="2160"/>
          </w:tcPr>
          <w:p>
            <w:r>
              <w:t>2022-03-01</w:t>
            </w:r>
          </w:p>
        </w:tc>
        <w:tc>
          <w:tcPr>
            <w:tcW w:type="dxa" w:w="2160"/>
          </w:tcPr>
          <w:p>
            <w:r/>
          </w:p>
        </w:tc>
      </w:tr>
      <w:tr>
        <w:tc>
          <w:tcPr>
            <w:tcW w:type="dxa" w:w="2160"/>
          </w:tcPr>
          <w:p>
            <w:r>
              <w:t>TO</w:t>
            </w:r>
          </w:p>
        </w:tc>
        <w:tc>
          <w:tcPr>
            <w:tcW w:type="dxa" w:w="2160"/>
          </w:tcPr>
          <w:p>
            <w:r>
              <w:t>T. Okafor</w:t>
            </w:r>
          </w:p>
        </w:tc>
        <w:tc>
          <w:tcPr>
            <w:tcW w:type="dxa" w:w="2160"/>
          </w:tcPr>
          <w:p>
            <w:r>
              <w:t>2024-05-13</w:t>
            </w:r>
          </w:p>
        </w:tc>
        <w:tc>
          <w:tcPr>
            <w:tcW w:type="dxa" w:w="2160"/>
          </w:tcPr>
          <w:p>
            <w:r/>
          </w:p>
        </w:tc>
      </w:tr>
      <w:tr>
        <w:tc>
          <w:tcPr>
            <w:tcW w:type="dxa" w:w="2160"/>
          </w:tcPr>
          <w:p>
            <w:r>
              <w:t>MB</w:t>
            </w:r>
          </w:p>
        </w:tc>
        <w:tc>
          <w:tcPr>
            <w:tcW w:type="dxa" w:w="2160"/>
          </w:tcPr>
          <w:p>
            <w:r>
              <w:t>M. Brennan</w:t>
            </w:r>
          </w:p>
        </w:tc>
        <w:tc>
          <w:tcPr>
            <w:tcW w:type="dxa" w:w="2160"/>
          </w:tcPr>
          <w:p>
            <w:r>
              <w:t>2025-09-01</w:t>
            </w:r>
          </w:p>
        </w:tc>
        <w:tc>
          <w:tcPr>
            <w:tcW w:type="dxa" w:w="2160"/>
          </w:tcPr>
          <w:p>
            <w:r/>
          </w:p>
        </w:tc>
      </w:tr>
      <w:tr>
        <w:tc>
          <w:tcPr>
            <w:tcW w:type="dxa" w:w="2160"/>
          </w:tcPr>
          <w:p>
            <w:r>
              <w:t>RF</w:t>
            </w:r>
          </w:p>
        </w:tc>
        <w:tc>
          <w:tcPr>
            <w:tcW w:type="dxa" w:w="2160"/>
          </w:tcPr>
          <w:p>
            <w:r>
              <w:t>R. Fairclough</w:t>
            </w:r>
          </w:p>
        </w:tc>
        <w:tc>
          <w:tcPr>
            <w:tcW w:type="dxa" w:w="2160"/>
          </w:tcPr>
          <w:p>
            <w:r>
              <w:t>2021-06-01</w:t>
            </w:r>
          </w:p>
        </w:tc>
        <w:tc>
          <w:tcPr>
            <w:tcW w:type="dxa" w:w="2160"/>
          </w:tcPr>
          <w:p>
            <w:r>
              <w:t>2026-09-30</w:t>
            </w:r>
          </w:p>
        </w:tc>
      </w:tr>
    </w:tbl>
    <w:p>
      <w:pPr>
        <w:pStyle w:val="Heading1"/>
      </w:pPr>
      <w:r>
        <w:t>Appendix E. Storm threshold</w:t>
      </w:r>
    </w:p>
    <w:tbl>
      <w:tblPr>
        <w:tblStyle w:val="TableGrid"/>
        <w:tblW w:type="auto" w:w="0"/>
        <w:tblLook w:firstColumn="1" w:firstRow="1" w:lastColumn="0" w:lastRow="0" w:noHBand="0" w:noVBand="1" w:val="04A0"/>
      </w:tblPr>
      <w:tblGrid>
        <w:gridCol w:w="4320"/>
        <w:gridCol w:w="4320"/>
      </w:tblGrid>
      <w:tr>
        <w:tc>
          <w:tcPr>
            <w:tcW w:type="dxa" w:w="4320"/>
          </w:tcPr>
          <w:p>
            <w:r>
              <w:t>Measure</w:t>
            </w:r>
          </w:p>
        </w:tc>
        <w:tc>
          <w:tcPr>
            <w:tcW w:type="dxa" w:w="4320"/>
          </w:tcPr>
          <w:p>
            <w:r>
              <w:t>Threshold</w:t>
            </w:r>
          </w:p>
        </w:tc>
      </w:tr>
      <w:tr>
        <w:tc>
          <w:tcPr>
            <w:tcW w:type="dxa" w:w="4320"/>
          </w:tcPr>
          <w:p>
            <w:r>
              <w:t>Maximum gust at the assigned station on the day of loss</w:t>
            </w:r>
          </w:p>
        </w:tc>
        <w:tc>
          <w:tcPr>
            <w:tcW w:type="dxa" w:w="4320"/>
          </w:tcPr>
          <w:p>
            <w:r>
              <w:t>48 knots</w:t>
            </w:r>
          </w:p>
        </w:tc>
      </w:tr>
    </w:tbl>
    <w:p>
      <w:r>
        <w:t xml:space="preserve">The recoveries log is the printed export. The received_recoveries register carries subsequent receipts. Join a receipt to the claim through the payment manifest, and deduct a cleared receipt received by the return date once from assessed loss. Pending receipts and receipts after the return date are excluded. The receipt reference prevents double counting; neither the payment reference nor a reserve ranking alone proves payment.</w:t>
      </w:r>
    </w:p>
    <w:p>
      <w:r>
        <w:t xml:space="preserve">Weather source control: approved corrections issued by the weather data custodian are held on the claims helpdesk. The appointed custodian for this return is Robin Lennox (weather.custodian@ashgrove.example). A signed approved correction naming a station and date replaces that pair in the printed gust export. Join the property district to the station plan before applying a corrected reading. The contractual gust threshold is unchanged; an estimate, received recovery or inspection request does not make a below-threshold loss covered.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AM-CAT-03 second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AM-CAT-03 Catastrophe event reserve return, second edition</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