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Hardship fund: guidance for staff</w:t>
      </w:r>
    </w:p>
    <w:p>
      <w:r>
        <w:t>Families apply on the online hardship form. The business manager looks at each application against the fund's threshold and records the decision on the office helpdesk. Staff should not promise remission before a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Hardship fund: guidance for staff</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