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NSF-02 Hotel liability statement, first edition</w:t>
      </w:r>
    </w:p>
    <w:p>
      <w:r>
        <w:rPr>
          <w:i/>
        </w:rPr>
        <w:t>Issued 3 February 2025. Withdrawn: from statements dated 1 October 2026 onwards the second edition is used in its place.</w:t>
      </w:r>
    </w:p>
    <w:p>
      <w:r>
        <w:t>Under this edition we stated what had been booked: each booking's nights at the rate printed on it, VAT in. Bookings were sorted into the block by the day they were made, and the status column was taken at its word. Corrin's bed-nights were treated as room-nights. Cancelling more than 30 days ahead cost nothing; later cancellations paid one night. Attrition kicked in below 80% of the allocation, and there was no visitor levy.</w:t>
      </w:r>
    </w:p>
    <w:p>
      <w:r>
        <w:rPr>
          <w:b/>
        </w:rPr>
        <w:t>Rates as printed in 2025</w:t>
      </w:r>
    </w:p>
    <w:tbl>
      <w:tblPr>
        <w:tblStyle w:val="TableGrid"/>
        <w:tblW w:type="auto" w:w="0"/>
        <w:tblLook w:firstColumn="1" w:firstRow="1" w:lastColumn="0" w:lastRow="0" w:noHBand="0" w:noVBand="1" w:val="04A0"/>
      </w:tblPr>
      <w:tblGrid>
        <w:gridCol w:w="4320"/>
        <w:gridCol w:w="4320"/>
      </w:tblGrid>
      <w:tr>
        <w:tc>
          <w:tcPr>
            <w:tcW w:type="dxa" w:w="4320"/>
          </w:tcPr>
          <w:p>
            <w:r>
              <w:t>Hotel</w:t>
            </w:r>
          </w:p>
        </w:tc>
        <w:tc>
          <w:tcPr>
            <w:tcW w:type="dxa" w:w="4320"/>
          </w:tcPr>
          <w:p>
            <w:r>
              <w:t>Flat rate incl. VAT</w:t>
            </w:r>
          </w:p>
        </w:tc>
      </w:tr>
      <w:tr>
        <w:tc>
          <w:tcPr>
            <w:tcW w:type="dxa" w:w="4320"/>
          </w:tcPr>
          <w:p>
            <w:r>
              <w:t>Quayside Northlight</w:t>
            </w:r>
          </w:p>
        </w:tc>
        <w:tc>
          <w:tcPr>
            <w:tcW w:type="dxa" w:w="4320"/>
          </w:tcPr>
          <w:p>
            <w:r>
              <w:t>150.00</w:t>
            </w:r>
          </w:p>
        </w:tc>
      </w:tr>
      <w:tr>
        <w:tc>
          <w:tcPr>
            <w:tcW w:type="dxa" w:w="4320"/>
          </w:tcPr>
          <w:p>
            <w:r>
              <w:t>Harbour Inn</w:t>
            </w:r>
          </w:p>
        </w:tc>
        <w:tc>
          <w:tcPr>
            <w:tcW w:type="dxa" w:w="4320"/>
          </w:tcPr>
          <w:p>
            <w:r>
              <w:t>130.00</w:t>
            </w:r>
          </w:p>
        </w:tc>
      </w:tr>
      <w:tr>
        <w:tc>
          <w:tcPr>
            <w:tcW w:type="dxa" w:w="4320"/>
          </w:tcPr>
          <w:p>
            <w:r>
              <w:t>Corrin Lodge</w:t>
            </w:r>
          </w:p>
        </w:tc>
        <w:tc>
          <w:tcPr>
            <w:tcW w:type="dxa" w:w="4320"/>
          </w:tcPr>
          <w:p>
            <w:r>
              <w:t>105.00</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NSF-02 first edition (superseded)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NSF-02 Hotel liability statement, first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