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NSF-02 Hotel liability statement, second edition</w:t>
      </w:r>
    </w:p>
    <w:p>
      <w:r>
        <w:t>Second edition, approved 2026-09-14. Governs any statement dated 2026-10-01 or later and replaces the first edition completely. It covers the staff-and-guest allocation of an event's hotel block; the speaker allocation is prepaid under the block contract and sits outside the statement.</w:t>
      </w:r>
    </w:p>
    <w:p>
      <w:pPr>
        <w:pStyle w:val="Heading1"/>
      </w:pPr>
      <w:r>
        <w:t>1. What the statement states</w:t>
      </w:r>
    </w:p>
    <w:p>
      <w:r>
        <w:t>The statement is the sum in pounds the event owes the hotels for staff and guests: committed stays, cancellation charges and any attrition damages. A booking belongs to the block when the guest's ARRIVAL falls between 22 and 27 November 2026, both days included; neither the day it was booked nor the day its paperwork reached the desk matters. Bookings carrying another event's code belong to that event and stay off our statement.</w:t>
      </w:r>
    </w:p>
    <w:p>
      <w:pPr>
        <w:pStyle w:val="Heading1"/>
      </w:pPr>
      <w:r>
        <w:t>2. Which entry speaks for a reservation</w:t>
      </w:r>
    </w:p>
    <w:p>
      <w:r>
        <w:t>Line a booking's entries up by the moment each happened and let the newest decide. If the newest is CANCELLED, the booking is cancelled regardless of what the desk stamped afterwards; an AMENDED entry resets the arrival and the length of stay. A booking that was moved to a fresh number appears once, under that fresh number; the old number is no longer stated.</w:t>
      </w:r>
    </w:p>
    <w:p>
      <w:pPr>
        <w:pStyle w:val="Heading1"/>
      </w:pPr>
      <w:r>
        <w:t>3. When a stay is committed</w:t>
      </w:r>
    </w:p>
    <w:p>
      <w:pPr>
        <w:pStyle w:val="ListBullet"/>
      </w:pPr>
      <w:r>
        <w:t>Only a guaranteed stay is committed; a provisional hold never is.</w:t>
      </w:r>
    </w:p>
    <w:p>
      <w:pPr>
        <w:pStyle w:val="ListBullet"/>
      </w:pPr>
      <w:r>
        <w:t>A deposit guarantee holds only if the deposit receipts log shows the money cleared; a deposit sent back unpaid means no guarantee, whether the return is on the log or in a bank return notice received since the log was printed (the bank sends those to the finance lead's second mailbox).</w:t>
      </w:r>
    </w:p>
    <w:p>
      <w:pPr>
        <w:pStyle w:val="ListBullet"/>
      </w:pPr>
      <w:r>
        <w:t>When the ledger says 'card authority attached', the guarantee rests on that authority: it must be signed by someone listed in Appendix D on the day they signed. No signature, or a signature from someone off the list that day, means no guarantee.</w:t>
      </w:r>
    </w:p>
    <w:p>
      <w:pPr>
        <w:pStyle w:val="ListBullet"/>
      </w:pPr>
      <w:r>
        <w:t>If a sponsor has sent a signed billing letter for a committed stay, the hotel bills the sponsor and our statement carries nothing for it; an unsigned letter has no effect.</w:t>
      </w:r>
    </w:p>
    <w:p>
      <w:pPr>
        <w:pStyle w:val="Heading1"/>
      </w:pPr>
      <w:r>
        <w:t>4. The charge for a reservation, in this order</w:t>
      </w:r>
    </w:p>
    <w:p>
      <w:pPr>
        <w:pStyle w:val="ListNumber"/>
      </w:pPr>
      <w:r>
        <w:t>Room-nights: our desk counts room-nights. Corrin's own reservations office counts bed-nights with an occupancy, and room-nights are the bed-nights divided by that occupancy. If Corrin never added up the bed-nights, add up the beds night by night from its occupancy tally.</w:t>
      </w:r>
    </w:p>
    <w:p>
      <w:pPr>
        <w:pStyle w:val="ListNumber"/>
      </w:pPr>
      <w:r>
        <w:t>Price each night at the hotel's Appendix A contract rate: peak where the block calendar drawing marks the night peak, shoulder otherwise. Whatever rate a booking quotes is not the contract rate.</w:t>
      </w:r>
    </w:p>
    <w:p>
      <w:pPr>
        <w:pStyle w:val="ListNumber"/>
      </w:pPr>
      <w:r>
        <w:t>A committed stay costs its room charge plus Appendix B VAT, plus the visitor levy where Appendix B applies it.</w:t>
      </w:r>
    </w:p>
    <w:p>
      <w:pPr>
        <w:pStyle w:val="ListNumber"/>
      </w:pPr>
      <w:r>
        <w:t>A cancellation is charged from Appendix C on the days between the HOTEL's first written acknowledgement of it and the arrival. The hotels' cancellation log (matched to the booking through the hotel reference map) records acknowledgements; where a hotel acknowledged a cancellation in writing before its log entry, either by email to the finance mailbox or by a message to the summit's WhatsApp business line, the date of that earlier message is the acknowledgement.</w:t>
      </w:r>
    </w:p>
    <w:p>
      <w:pPr>
        <w:pStyle w:val="ListNumber"/>
      </w:pPr>
      <w:r>
        <w:t>Each booking's charge is in pounds, rounded to the penny.</w:t>
      </w:r>
    </w:p>
    <w:p>
      <w:pPr>
        <w:pStyle w:val="Heading1"/>
      </w:pPr>
      <w:r>
        <w:t>5. Attrition</w:t>
      </w:r>
    </w:p>
    <w:p>
      <w:r>
        <w:t>Each hotel's pickup is the room-nights of stays already committed on the review date, 10 November 2026, counting only stays booked on or before it and counting them whoever pays (a sponsor-billed stay still counts). A pickup below the Appendix E threshold costs the missing room-nights at that hotel's shoulder rate plus VAT. The statement adds the booking charges and the attrition damages.</w:t>
      </w:r>
    </w:p>
    <w:p>
      <w:pPr>
        <w:pStyle w:val="Heading1"/>
      </w:pPr>
      <w:r>
        <w:t>6. Register headings</w:t>
      </w:r>
    </w:p>
    <w:p>
      <w:r>
        <w:t>Register headings are exactly these, spelt as shown: Committed stay; Cancellation charge; Cancelled without charge; Not guaranteed; Sponsor-billed; Superseded by re-booking; Not this event's block; Arrival outside the block window. Committed stay and Cancellation charge lines carry the amount; every other line carries 0.00.</w:t>
      </w:r>
    </w:p>
    <w:p>
      <w:pPr>
        <w:pStyle w:val="Heading1"/>
      </w:pPr>
      <w:r>
        <w:t>Appendix A. Contract rates per room-night, GBP, excluding VAT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Hotel</w:t>
            </w:r>
          </w:p>
        </w:tc>
        <w:tc>
          <w:tcPr>
            <w:tcW w:type="dxa" w:w="2880"/>
          </w:tcPr>
          <w:p>
            <w:r>
              <w:t>Peak night</w:t>
            </w:r>
          </w:p>
        </w:tc>
        <w:tc>
          <w:tcPr>
            <w:tcW w:type="dxa" w:w="2880"/>
          </w:tcPr>
          <w:p>
            <w:r>
              <w:t>Shoulder night</w:t>
            </w:r>
          </w:p>
        </w:tc>
      </w:tr>
      <w:tr>
        <w:tc>
          <w:tcPr>
            <w:tcW w:type="dxa" w:w="2880"/>
          </w:tcPr>
          <w:p>
            <w:r>
              <w:t>Quayside Northlight</w:t>
            </w:r>
          </w:p>
        </w:tc>
        <w:tc>
          <w:tcPr>
            <w:tcW w:type="dxa" w:w="2880"/>
          </w:tcPr>
          <w:p>
            <w:r>
              <w:t>168.00</w:t>
            </w:r>
          </w:p>
        </w:tc>
        <w:tc>
          <w:tcPr>
            <w:tcW w:type="dxa" w:w="2880"/>
          </w:tcPr>
          <w:p>
            <w:r>
              <w:t>132.00</w:t>
            </w:r>
          </w:p>
        </w:tc>
      </w:tr>
      <w:tr>
        <w:tc>
          <w:tcPr>
            <w:tcW w:type="dxa" w:w="2880"/>
          </w:tcPr>
          <w:p>
            <w:r>
              <w:t>Harbour Inn</w:t>
            </w:r>
          </w:p>
        </w:tc>
        <w:tc>
          <w:tcPr>
            <w:tcW w:type="dxa" w:w="2880"/>
          </w:tcPr>
          <w:p>
            <w:r>
              <w:t>142.00</w:t>
            </w:r>
          </w:p>
        </w:tc>
        <w:tc>
          <w:tcPr>
            <w:tcW w:type="dxa" w:w="2880"/>
          </w:tcPr>
          <w:p>
            <w:r>
              <w:t>118.00</w:t>
            </w:r>
          </w:p>
        </w:tc>
      </w:tr>
      <w:tr>
        <w:tc>
          <w:tcPr>
            <w:tcW w:type="dxa" w:w="2880"/>
          </w:tcPr>
          <w:p>
            <w:r>
              <w:t>Corrin Lodge</w:t>
            </w:r>
          </w:p>
        </w:tc>
        <w:tc>
          <w:tcPr>
            <w:tcW w:type="dxa" w:w="2880"/>
          </w:tcPr>
          <w:p>
            <w:r>
              <w:t>119.00</w:t>
            </w:r>
          </w:p>
        </w:tc>
        <w:tc>
          <w:tcPr>
            <w:tcW w:type="dxa" w:w="2880"/>
          </w:tcPr>
          <w:p>
            <w:r>
              <w:t>96.00</w:t>
            </w:r>
          </w:p>
        </w:tc>
      </w:tr>
    </w:tbl>
    <w:p>
      <w:pPr>
        <w:pStyle w:val="Heading1"/>
      </w:pPr>
      <w:r>
        <w:t>Appendix B. VAT and visitor levy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20% of the room charge, of a cancellation charge and of attrition damages</w:t>
            </w:r>
          </w:p>
        </w:tc>
      </w:tr>
      <w:tr>
        <w:tc>
          <w:tcPr>
            <w:tcW w:type="dxa" w:w="4320"/>
          </w:tcPr>
          <w:p>
            <w:r>
              <w:t>Visitor levy</w:t>
            </w:r>
          </w:p>
        </w:tc>
        <w:tc>
          <w:tcPr>
            <w:tcW w:type="dxa" w:w="4320"/>
          </w:tcPr>
          <w:p>
            <w:r>
              <w:t>4% of the room charge excluding VAT, on the first five nights of a stay only, at hotels inside the Port Corrin city boundary (see the boundary drawing); no VAT on the levy; never on a cancellation or attrition</w:t>
            </w:r>
          </w:p>
        </w:tc>
      </w:tr>
    </w:tbl>
    <w:p>
      <w:pPr>
        <w:pStyle w:val="Heading1"/>
      </w:pPr>
      <w:r>
        <w:t>Appendix C. Cancellation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Days from hotel acknowledgement to arrival</w:t>
            </w:r>
          </w:p>
        </w:tc>
        <w:tc>
          <w:tcPr>
            <w:tcW w:type="dxa" w:w="4320"/>
          </w:tcPr>
          <w:p>
            <w:r>
              <w:t>Charge</w:t>
            </w:r>
          </w:p>
        </w:tc>
      </w:tr>
      <w:tr>
        <w:tc>
          <w:tcPr>
            <w:tcW w:type="dxa" w:w="4320"/>
          </w:tcPr>
          <w:p>
            <w:r>
              <w:t>more than 21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8 to 21</w:t>
            </w:r>
          </w:p>
        </w:tc>
        <w:tc>
          <w:tcPr>
            <w:tcW w:type="dxa" w:w="4320"/>
          </w:tcPr>
          <w:p>
            <w:r>
              <w:t>50% of the first night's charge including VAT</w:t>
            </w:r>
          </w:p>
        </w:tc>
      </w:tr>
      <w:tr>
        <w:tc>
          <w:tcPr>
            <w:tcW w:type="dxa" w:w="4320"/>
          </w:tcPr>
          <w:p>
            <w:r>
              <w:t>7 or fewer</w:t>
            </w:r>
          </w:p>
        </w:tc>
        <w:tc>
          <w:tcPr>
            <w:tcW w:type="dxa" w:w="4320"/>
          </w:tcPr>
          <w:p>
            <w:r>
              <w:t>100% of the first night's charge including VAT</w:t>
            </w:r>
          </w:p>
        </w:tc>
      </w:tr>
    </w:tbl>
    <w:p>
      <w:pPr>
        <w:pStyle w:val="Heading1"/>
      </w:pPr>
      <w:r>
        <w:t>Appendix D. Authorised signatories for card authorities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Initials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On the register from</w:t>
            </w:r>
          </w:p>
        </w:tc>
        <w:tc>
          <w:tcPr>
            <w:tcW w:type="dxa" w:w="2160"/>
          </w:tcPr>
          <w:p>
            <w:r>
              <w:t>Removed from the register</w:t>
            </w:r>
          </w:p>
        </w:tc>
      </w:tr>
      <w:tr>
        <w:tc>
          <w:tcPr>
            <w:tcW w:type="dxa" w:w="2160"/>
          </w:tcPr>
          <w:p>
            <w:r>
              <w:t>TW</w:t>
            </w:r>
          </w:p>
        </w:tc>
        <w:tc>
          <w:tcPr>
            <w:tcW w:type="dxa" w:w="2160"/>
          </w:tcPr>
          <w:p>
            <w:r>
              <w:t>T. Wexford</w:t>
            </w:r>
          </w:p>
        </w:tc>
        <w:tc>
          <w:tcPr>
            <w:tcW w:type="dxa" w:w="2160"/>
          </w:tcPr>
          <w:p>
            <w:r>
              <w:t>2024-03-01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AO</w:t>
            </w:r>
          </w:p>
        </w:tc>
        <w:tc>
          <w:tcPr>
            <w:tcW w:type="dxa" w:w="2160"/>
          </w:tcPr>
          <w:p>
            <w:r>
              <w:t>A. Okafor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PF</w:t>
            </w:r>
          </w:p>
        </w:tc>
        <w:tc>
          <w:tcPr>
            <w:tcW w:type="dxa" w:w="2160"/>
          </w:tcPr>
          <w:p>
            <w:r>
              <w:t>P. Ferris</w:t>
            </w:r>
          </w:p>
        </w:tc>
        <w:tc>
          <w:tcPr>
            <w:tcW w:type="dxa" w:w="2160"/>
          </w:tcPr>
          <w:p>
            <w:r>
              <w:t>2021-06-01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</w:tr>
      <w:tr>
        <w:tc>
          <w:tcPr>
            <w:tcW w:type="dxa" w:w="2160"/>
          </w:tcPr>
          <w:p>
            <w:r>
              <w:t>LM</w:t>
            </w:r>
          </w:p>
        </w:tc>
        <w:tc>
          <w:tcPr>
            <w:tcW w:type="dxa" w:w="2160"/>
          </w:tcPr>
          <w:p>
            <w:r>
              <w:t>L. Marsh</w:t>
            </w:r>
          </w:p>
        </w:tc>
        <w:tc>
          <w:tcPr>
            <w:tcW w:type="dxa" w:w="2160"/>
          </w:tcPr>
          <w:p>
            <w:r>
              <w:t>2026-10-15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Appendix E. Staff-and-guest allocation and attrition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Hotel</w:t>
            </w:r>
          </w:p>
        </w:tc>
        <w:tc>
          <w:tcPr>
            <w:tcW w:type="dxa" w:w="4320"/>
          </w:tcPr>
          <w:p>
            <w:r>
              <w:t>Contracted room-nights</w:t>
            </w:r>
          </w:p>
        </w:tc>
      </w:tr>
      <w:tr>
        <w:tc>
          <w:tcPr>
            <w:tcW w:type="dxa" w:w="4320"/>
          </w:tcPr>
          <w:p>
            <w:r>
              <w:t>Quayside Northlight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Harbour Inn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Corrin Lodge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Threshold: 85% of the contracted room-nights, rounded down to a whole room-night.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NSF-02 second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NSF-02 Hotel liability statement, second edition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