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Indemnity Scheme: approval for Tidelines</w:t>
      </w:r>
    </w:p>
    <w:p>
      <w:r>
        <w:t>To the Director, Brennock Museum and Art Gallery. 21 October 2026.</w:t>
      </w:r>
    </w:p>
    <w:p>
      <w:r>
        <w:t>I am pleased to confirm that the loans from the lenders listed in the schedule below are approved for cover under the Government Indemnity Scheme for the exhibition Tidelines: Painting the Northern Coast, 1880-1940, at Brennock from 1 February to 30 June 2027, nail to nail. Loans from any lender not listed are not covered by this approval.</w:t>
      </w:r>
    </w:p>
    <w:p>
      <w:r>
        <w:rPr>
          <w:b/>
        </w:rP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Schedule: approved lenders</w:t>
            </w:r>
          </w:p>
        </w:tc>
      </w:tr>
      <w:tr>
        <w:tc>
          <w:tcPr>
            <w:tcW w:type="dxa" w:w="8640"/>
          </w:tcPr>
          <w:p>
            <w:r>
              <w:t>Calder Bay Art Society</w:t>
            </w:r>
          </w:p>
        </w:tc>
      </w:tr>
      <w:tr>
        <w:tc>
          <w:tcPr>
            <w:tcW w:type="dxa" w:w="8640"/>
          </w:tcPr>
          <w:p>
            <w:r>
              <w:t>Musee Leonie Barraud</w:t>
            </w:r>
          </w:p>
        </w:tc>
      </w:tr>
      <w:tr>
        <w:tc>
          <w:tcPr>
            <w:tcW w:type="dxa" w:w="8640"/>
          </w:tcPr>
          <w:p>
            <w:r>
              <w:t>Mrs Imogen Thackwray</w:t>
            </w:r>
          </w:p>
        </w:tc>
      </w:tr>
      <w:tr>
        <w:tc>
          <w:tcPr>
            <w:tcW w:type="dxa" w:w="8640"/>
          </w:tcPr>
          <w:p>
            <w:r>
              <w:t>Ostkust Konstmuseum</w:t>
            </w:r>
          </w:p>
        </w:tc>
      </w:tr>
      <w:tr>
        <w:tc>
          <w:tcPr>
            <w:tcW w:type="dxa" w:w="8640"/>
          </w:tcPr>
          <w:p>
            <w:r>
              <w:t>Whitcombe College</w:t>
            </w:r>
          </w:p>
        </w:tc>
      </w:tr>
      <w:tr>
        <w:tc>
          <w:tcPr>
            <w:tcW w:type="dxa" w:w="8640"/>
          </w:tcPr>
          <w:p>
            <w:r>
              <w:t>Strandhuis Collection Trust</w:t>
            </w:r>
          </w:p>
        </w:tc>
      </w:tr>
      <w:tr>
        <w:tc>
          <w:tcPr>
            <w:tcW w:type="dxa" w:w="8640"/>
          </w:tcPr>
          <w:p>
            <w:r>
              <w:t>Halvorsen Family Collection</w:t>
            </w:r>
          </w:p>
        </w:tc>
      </w:tr>
      <w:tr>
        <w:tc>
          <w:tcPr>
            <w:tcW w:type="dxa" w:w="8640"/>
          </w:tcPr>
          <w:p>
            <w:r>
              <w:t>Mr Ruaridh Fennick</w:t>
            </w:r>
          </w:p>
        </w:tc>
      </w:tr>
      <w:tr>
        <w:tc>
          <w:tcPr>
            <w:tcW w:type="dxa" w:w="8640"/>
          </w:tcPr>
          <w:p>
            <w:r>
              <w:t>Garside Hall Estate</w:t>
            </w:r>
          </w:p>
        </w:tc>
      </w:tr>
    </w:tbl>
    <w:p>
      <w:r>
        <w:t>Indemnity Scheme casework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Government Indemnity Scheme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Indemnity Scheme: approval for Tidelines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