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IS-2 Insurance and indemnity for inbound loans, revision 4</w:t>
      </w:r>
    </w:p>
    <w:p>
      <w:r>
        <w:t>Revision 4, approved 2026-09-14, alongside LP-7 third edition.</w:t>
      </w:r>
    </w:p>
    <w:p>
      <w:pPr>
        <w:pStyle w:val="Heading1"/>
      </w:pPr>
      <w:r>
        <w:t>1. Values in pounds</w:t>
      </w:r>
    </w:p>
    <w:p>
      <w:r>
        <w:t>An object's insured value is the lender's agreed value, converted into pounds at the exchange rate fixed in the signed loan agreement - never at a later market rate - and rounded to the nearest whole pound, a half pound rounded up.</w:t>
      </w:r>
    </w:p>
    <w:p>
      <w:pPr>
        <w:pStyle w:val="Heading1"/>
      </w:pPr>
      <w:r>
        <w:t>2. Cover</w:t>
      </w:r>
    </w:p>
    <w:p>
      <w:r>
        <w:t>Objects lent by a lender named on the schedule to the exhibition's Government Indemnity Scheme approval letter are covered by the indemnity (GIS). Objects lent by any other lender, dealers included, are insured commercially (Commercial) through the museum's broker.</w:t>
      </w:r>
    </w:p>
    <w:p>
      <w:pPr>
        <w:pStyle w:val="Heading1"/>
      </w:pPr>
      <w:r>
        <w:t>3. Premium</w:t>
      </w:r>
    </w:p>
    <w:p>
      <w:r>
        <w:t>A commercially insured object carries a premium at the broker's rate schedule in force when the exhibition policy incepts (for Tidelines, 1 February 2027), worked object by object and rounded to the penny, a half penny rounded up. An object travels by air when the shipping agent's confirmation for its consignment books air freight. An object under the indemnity carries no premium.</w:t>
      </w:r>
    </w:p>
    <w:p>
      <w:pPr>
        <w:pStyle w:val="Heading1"/>
      </w:pPr>
      <w:r>
        <w:t>4. Records</w:t>
      </w:r>
    </w:p>
    <w:p>
      <w:r>
        <w:t>The broker is sent one commercial schedule per exhibition, by email, giving the total insured value under commercial cover and the total premium.</w:t>
      </w:r>
    </w:p>
    <w:p>
      <w:pPr>
        <w:pStyle w:val="Heading1"/>
      </w:pPr>
      <w:r>
        <w:t>5. Value on one vehicle</w:t>
      </w:r>
    </w:p>
    <w:p>
      <w:r>
        <w:t>The insured values of the objects on any one vehicle (or in any one air freight consignment) must not add up to more than 3,000,000 pounds. Load a consignment's confirmed objects in object-number order; an object that would take the vehicle over the limit, and every object after it, goes on a further vehicle, which is loaded the same way, and so 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IS-2 revision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IS-2 Insurance and indemnity for inbound loans, revision 4</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