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Keel &amp; Lantern fine art rate schedule, 2027 corrigendum</w:t>
      </w:r>
    </w:p>
    <w:p>
      <w:r>
        <w:t>For exhibition policies incepting on or after 1 April 2027. Policies incepting earlier stay on the second issue.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First 500,000 pounds</w:t>
            </w:r>
          </w:p>
        </w:tc>
        <w:tc>
          <w:tcPr>
            <w:tcW w:type="dxa" w:w="4320"/>
          </w:tcPr>
          <w:p>
            <w:r>
              <w:t>0.140%</w:t>
            </w:r>
          </w:p>
        </w:tc>
      </w:tr>
      <w:tr>
        <w:tc>
          <w:tcPr>
            <w:tcW w:type="dxa" w:w="4320"/>
          </w:tcPr>
          <w:p>
            <w:r>
              <w:t>Above 500,000 pounds</w:t>
            </w:r>
          </w:p>
        </w:tc>
        <w:tc>
          <w:tcPr>
            <w:tcW w:type="dxa" w:w="4320"/>
          </w:tcPr>
          <w:p>
            <w:r>
              <w:t>0.080%</w:t>
            </w:r>
          </w:p>
        </w:tc>
      </w:tr>
      <w:tr>
        <w:tc>
          <w:tcPr>
            <w:tcW w:type="dxa" w:w="4320"/>
          </w:tcPr>
          <w:p>
            <w:r>
              <w:t>Air transit loading</w:t>
            </w:r>
          </w:p>
        </w:tc>
        <w:tc>
          <w:tcPr>
            <w:tcW w:type="dxa" w:w="4320"/>
          </w:tcPr>
          <w:p>
            <w:r>
              <w:t>0.025%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Keel &amp; Lantern Insurance Brokers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Keel &amp; Lantern fine art rate schedule, 2027 corrigendum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