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Keel &amp; Lantern fine art rate schedule, first issue</w:t>
      </w:r>
    </w:p>
    <w:p>
      <w:r>
        <w:rPr>
          <w:i/>
        </w:rPr>
        <w:t>First issue, 2025-09-01. SUPERSEDED for policies incepting from 1 October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On the whole insured value of an object</w:t>
            </w:r>
          </w:p>
        </w:tc>
        <w:tc>
          <w:tcPr>
            <w:tcW w:type="dxa" w:w="4320"/>
          </w:tcPr>
          <w:p>
            <w:r>
              <w:t>0.180%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Keel &amp; Lantern Insurance Brokers (superseded)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Keel &amp; Lantern fine art rate schedule, first issue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