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Keel &amp; Lantern fine art rate schedule, second issue</w:t>
      </w:r>
    </w:p>
    <w:p>
      <w:r>
        <w:t>Second issue. For exhibition policies incepting from 1 October 2026 to 31 March 2027. Replaces the first issue.</w:t>
      </w:r>
    </w:p>
    <w:p>
      <w:r>
        <w:rPr>
          <w:b/>
        </w:rPr>
        <w:t>Rates per object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Rate</w:t>
            </w:r>
          </w:p>
        </w:tc>
      </w:tr>
      <w:tr>
        <w:tc>
          <w:tcPr>
            <w:tcW w:type="dxa" w:w="4320"/>
          </w:tcPr>
          <w:p>
            <w:r>
              <w:t>On the first 500,000 pounds of an object's insured value</w:t>
            </w:r>
          </w:p>
        </w:tc>
        <w:tc>
          <w:tcPr>
            <w:tcW w:type="dxa" w:w="4320"/>
          </w:tcPr>
          <w:p>
            <w:r>
              <w:t>0.150%</w:t>
            </w:r>
          </w:p>
        </w:tc>
      </w:tr>
      <w:tr>
        <w:tc>
          <w:tcPr>
            <w:tcW w:type="dxa" w:w="4320"/>
          </w:tcPr>
          <w:p>
            <w:r>
              <w:t>On the part of an object's insured value above 500,000 pounds</w:t>
            </w:r>
          </w:p>
        </w:tc>
        <w:tc>
          <w:tcPr>
            <w:tcW w:type="dxa" w:w="4320"/>
          </w:tcPr>
          <w:p>
            <w:r>
              <w:t>0.085%</w:t>
            </w:r>
          </w:p>
        </w:tc>
      </w:tr>
      <w:tr>
        <w:tc>
          <w:tcPr>
            <w:tcW w:type="dxa" w:w="4320"/>
          </w:tcPr>
          <w:p>
            <w:r>
              <w:t>Air transit loading, on the whole insured value of an object that travels by air</w:t>
            </w:r>
          </w:p>
        </w:tc>
        <w:tc>
          <w:tcPr>
            <w:tcW w:type="dxa" w:w="4320"/>
          </w:tcPr>
          <w:p>
            <w:r>
              <w:t>0.020%</w:t>
            </w:r>
          </w:p>
        </w:tc>
      </w:tr>
    </w:tbl>
    <w:p>
      <w:r>
        <w:rPr>
          <w:i/>
        </w:rPr>
        <w:t>Each object is rated on its own; the elements are added together.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Keel &amp; Lantern Insurance Brokers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Keel &amp; Lantern fine art rate schedule, second issue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