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Environmental conditions for loans</w:t>
      </w:r>
    </w:p>
    <w:p>
      <w:r>
        <w:t>Galleries 3 and 4 run at 50 per cent relative humidity, plus or minus 5, and 19-21 degrees; light levels of 150 lux for oils and 50 lux for works on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conditions for loans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