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Tidelines: label text drafts (extract)</w:t>
      </w:r>
    </w:p>
    <w:p>
      <w:r>
        <w:t>Draft labels for twelve works, with credit lines as the lenders asked. The curator's text is still being edited.</w:t>
      </w:r>
    </w:p>
    <w:p>
      <w:pPr>
        <w:pStyle w:val="ListBullet"/>
      </w:pPr>
      <w:r>
        <w:t>Edith Calderwood, Low Water, Calder Bay, 1898. Lent by Calder Bay Art Society.</w:t>
      </w:r>
    </w:p>
    <w:p>
      <w:pPr>
        <w:pStyle w:val="ListBullet"/>
      </w:pPr>
      <w:r>
        <w:t>Pieter Voskuyl, Dunes near Oostduin, 1896. Private collection.</w:t>
      </w:r>
    </w:p>
    <w:p>
      <w:pPr>
        <w:pStyle w:val="ListBullet"/>
      </w:pPr>
      <w:r>
        <w:t>Margit Lundell, Skerries in Autumn, 1904. Lent by Ostkust Konstmuseum.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Tidelines: label text drafts (extract)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