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Shorelines (2024): inbound loans report</w:t>
      </w:r>
    </w:p>
    <w:p>
      <w:r>
        <w:t>Headline: 31 objects from 12 lenders, insured value 18,446,210 pounds, commercial premium 9,812.40 pounds, 11 vehicles.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</w:t>
            </w:r>
          </w:p>
        </w:tc>
        <w:tc>
          <w:tcPr>
            <w:tcW w:type="dxa" w:w="2880"/>
          </w:tcPr>
          <w:p>
            <w:r>
              <w:t>Objects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GIS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13,904,100</w:t>
            </w:r>
          </w:p>
        </w:tc>
      </w:tr>
      <w:tr>
        <w:tc>
          <w:tcPr>
            <w:tcW w:type="dxa" w:w="2880"/>
          </w:tcPr>
          <w:p>
            <w:r>
              <w:t>Commercial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4,542,110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Shorelines (2024): inbound loans report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