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LP-7 Inbound exhibition loans, second edition</w:t>
      </w:r>
    </w:p>
    <w:p>
      <w:r>
        <w:rPr>
          <w:i/>
        </w:rPr>
        <w:t>Second edition, 2021-05-10. SUPERSEDED by the third edition for exhibitions opening on or after 2027-01-01.</w:t>
      </w:r>
    </w:p>
    <w:p>
      <w:r>
        <w:t>Values in other currencies are converted at the market rate on the day the register is completed. Couriers are chosen by seniority, the most senior conservator taking the most valuable consignment. There is no limit on the value carried by one vehicle. Lenders are told by email.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LP-7 second edition (superseded)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LP-7 Inbound exhibition loans, second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