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LP-7 Inbound exhibition loans, third edition</w:t>
      </w:r>
    </w:p>
    <w:p>
      <w:r>
        <w:t>Third edition. Approved by the collections committee on 2026-09-14. Applies to every inbound loan for an exhibition opening on or after 2027-01-01. Replaces the second edition in full.</w:t>
      </w:r>
    </w:p>
    <w:p>
      <w:pPr>
        <w:pStyle w:val="Heading1"/>
      </w:pPr>
      <w:r>
        <w:t>1. Confirmation</w:t>
      </w:r>
    </w:p>
    <w:p>
      <w:r>
        <w:t>An inbound loan object is confirmed only when its loan agreement has been signed and dated for the lender and for the museum. An agreement that lacks either signature or date does not confirm anything, whatever has been said about it since.</w:t>
      </w:r>
    </w:p>
    <w:p>
      <w:pPr>
        <w:pStyle w:val="Heading1"/>
      </w:pPr>
      <w:r>
        <w:t>2. Changes from lenders</w:t>
      </w:r>
    </w:p>
    <w:p>
      <w:r>
        <w:t>A lender may withdraw an object, or revise its agreed value, in writing: by letter, by email, by a WhatsApp message to the registrar's line, or by a comment on the lender's ticket on the loans desk. A change counts only if it is received before the loans freeze, which for an exhibition is 17:00 on the Friday fourteen weeks before it opens (for Tidelines, 17:00 on 27 November 2026); anything received after the freeze waits for the next exhibition. Where a value has been revised, the latest written value received before the freeze governs.</w:t>
      </w:r>
    </w:p>
    <w:p>
      <w:pPr>
        <w:pStyle w:val="Heading1"/>
      </w:pPr>
      <w:r>
        <w:t>3. Condition</w:t>
      </w:r>
    </w:p>
    <w:p>
      <w:r>
        <w:t>An object travels only if its pre-loan condition check found it fit to travel. The conservator records each outcome as a comment on the exhibition's condition-checks page in the conservation space of the museum wiki; an object the conservator has noted as not fit to travel is declined.</w:t>
      </w:r>
    </w:p>
    <w:p>
      <w:pPr>
        <w:pStyle w:val="Heading1"/>
      </w:pPr>
      <w:r>
        <w:t>4. The loan register</w:t>
      </w:r>
    </w:p>
    <w:p>
      <w:r>
        <w:t>Each object has one row in loan_objects. Its status is one of these, in these words: Confirmed; Withdrawn by lender; Declined - condition; Not confirmed - agreement unsigned. A confirmed object carries its insured value in whole pounds, its cover (GIS or Commercial, in those words), its premium in pounds and pence (0.00 under GIS) and the trip reference of the vehicle it travels on. Any other object carries an insured value of 0, an empty cover, a premium of 0.00 and an empty trip reference. Values, cover and premium follow IS-2.</w:t>
      </w:r>
    </w:p>
    <w:p>
      <w:pPr>
        <w:pStyle w:val="Heading1"/>
      </w:pPr>
      <w:r>
        <w:t>5. Trips and couriers</w:t>
      </w:r>
    </w:p>
    <w:p>
      <w:r>
        <w:t>Each lender's objects travel as one consignment, recorded in courier_trips, on the dates booked with the shipping agent. The shipping agent confirms each booking through the shared table agent_confirmations in the loans base. A confirmed slot replaces the requested dates, and the vehicle it books the requested mode, for every vehicle of that consignment. The agent corrects its confirmations in place during the day as its bookings firm up and posts no separate note when it does; the confirmations as they stand when the register and the trips are settled are the ones that count.</w:t>
      </w:r>
    </w:p>
    <w:p>
      <w:r>
        <w:t>Where IS-2 section 5 puts part of a consignment on a further vehicle, that vehicle is a trip record of its own: the consignment's trip reference with -2 added (then -3, and so on), the same lender, origin, mode and dates. A trip record carries its courier, the number of objects on that vehicle, their insured value in whole pounds and its status: Booked, or Cancelled for a consignment with no confirmed object (no courier, 0 objects, value 0).</w:t>
      </w:r>
    </w:p>
    <w:p>
      <w:r>
        <w:t>Every vehicle is accompanied by a museum courier from the approved courier list, except where the loan agreement says the lender's own courier accompanies the consignment; then its courier field reads Lender's courier. Museum couriers are assigned to vehicles in order of departure date (then trip reference), each vehicle taking the next courier on the rota after the one last assigned. A courier who is on approved leave on any day from the vehicle's departure to its arrival, or who is already accompanying a vehicle whose dates overlap, is passed over for that vehicle. Leave counts once it is approved in the HR system; leave that is only requested, or was declined, does not.</w:t>
      </w:r>
    </w:p>
    <w:p>
      <w:pPr>
        <w:pStyle w:val="Heading1"/>
      </w:pPr>
      <w:r>
        <w:t>6. Notices</w:t>
      </w:r>
    </w:p>
    <w:p>
      <w:r>
        <w:t>When the register and the trips are settled, each museum courier is sent one text for each vehicle they accompany, and each lender with at least one confirmed object is sent one confirmation. Texts go from the registrar's office line. A lender's confirmation goes by text to the contact mobile on the lenders table, unless the lender has replied STOP to any of the museum's numbers or has otherwise asked not to be texted; then it goes by email to the contact email. The lender's notice_status records text, email, or none (no confirmed object, no confirmation). The wording is in Appendix A.</w:t>
      </w:r>
    </w:p>
    <w:p>
      <w:pPr>
        <w:pStyle w:val="Heading1"/>
      </w:pPr>
      <w:r>
        <w:t>7. Arrivals</w:t>
      </w:r>
    </w:p>
    <w:p>
      <w:r>
        <w:t>Each vehicle's arrival is booked on the Loading bay calendar as an event named Tidelines arrival followed by the trip reference (for example Tidelines arrival TRP-99), from 10:00 to 12:00 on the arrival date. A cancelled consignment is not booked.</w:t>
      </w:r>
    </w:p>
    <w:p>
      <w:pPr>
        <w:pStyle w:val="Heading1"/>
      </w:pPr>
      <w:r>
        <w:t>Appendix A. Wording</w:t>
      </w:r>
    </w:p>
    <w:tbl>
      <w:tblPr>
        <w:tblStyle w:val="TableGrid"/>
        <w:tblW w:type="auto" w:w="0"/>
        <w:tblLook w:firstColumn="1" w:firstRow="1" w:lastColumn="0" w:lastRow="0" w:noHBand="0" w:noVBand="1" w:val="04A0"/>
      </w:tblPr>
      <w:tblGrid>
        <w:gridCol w:w="4320"/>
        <w:gridCol w:w="4320"/>
      </w:tblGrid>
      <w:tr>
        <w:tc>
          <w:tcPr>
            <w:tcW w:type="dxa" w:w="4320"/>
          </w:tcPr>
          <w:p>
            <w:r>
              <w:t>Notice</w:t>
            </w:r>
          </w:p>
        </w:tc>
        <w:tc>
          <w:tcPr>
            <w:tcW w:type="dxa" w:w="4320"/>
          </w:tcPr>
          <w:p>
            <w:r>
              <w:t>Wording</w:t>
            </w:r>
          </w:p>
        </w:tc>
      </w:tr>
      <w:tr>
        <w:tc>
          <w:tcPr>
            <w:tcW w:type="dxa" w:w="4320"/>
          </w:tcPr>
          <w:p>
            <w:r>
              <w:t>Courier text</w:t>
            </w:r>
          </w:p>
        </w:tc>
        <w:tc>
          <w:tcPr>
            <w:tcW w:type="dxa" w:w="4320"/>
          </w:tcPr>
          <w:p>
            <w:r>
              <w:t>Brennock Museum: Tidelines courier trip {trip reference} - collect from {origin} on {departure date}, arrive Brennock {arrival date}, {number of objects} objects.</w:t>
            </w:r>
          </w:p>
        </w:tc>
      </w:tr>
      <w:tr>
        <w:tc>
          <w:tcPr>
            <w:tcW w:type="dxa" w:w="4320"/>
          </w:tcPr>
          <w:p>
            <w:r>
              <w:t>Lender confirmation (text, or email with the subject Tidelines loan confirmation)</w:t>
            </w:r>
          </w:p>
        </w:tc>
        <w:tc>
          <w:tcPr>
            <w:tcW w:type="dxa" w:w="4320"/>
          </w:tcPr>
          <w:p>
            <w:r>
              <w:t>Brennock Museum: your Tidelines loan is confirmed for {number of confirmed objects} objects insured at GBP {total insured value, whole pounds} in all. Collection {departure date}.</w:t>
            </w:r>
          </w:p>
        </w:tc>
      </w:tr>
    </w:tbl>
    <w:p>
      <w:r>
        <w:rPr>
          <w:i/>
        </w:rPr>
        <w:t>Dates are written as in the trip records (YYYY-MM-DD). Amounts in whole pounds may carry thousands separators.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LP-7 third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LP-7 Inbound exhibition loans, third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