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CP-9: closing out charity places</w:t>
      </w:r>
    </w:p>
    <w:p>
      <w:r>
        <w:rPr>
          <w:i/>
        </w:rPr>
        <w:t>Owner: Events Fundraising Manager. Revised August 2026.</w:t>
      </w:r>
    </w:p>
    <w:p>
      <w:pPr>
        <w:pStyle w:val="ListNumber"/>
      </w:pPr>
      <w:r>
        <w:t>Work to the charity place agreement for the race, the Gift Aid procedure GA-4, the supporter contact policy SC-2 and the hardship waiver procedure HW-1.</w:t>
      </w:r>
    </w:p>
    <w:p>
      <w:pPr>
        <w:pStyle w:val="ListNumber"/>
      </w:pPr>
      <w:r>
        <w:t>Take who started from the timing company's official results as amended, never from the chip feed on the records.</w:t>
      </w:r>
    </w:p>
    <w:p>
      <w:pPr>
        <w:pStyle w:val="ListNumber"/>
      </w:pPr>
      <w:r>
        <w:t>Work each runner's figures from the donations table in the records system, the paying-in log and the employers' written confirmations, never from an export or a keyed sheet.</w:t>
      </w:r>
    </w:p>
    <w:p>
      <w:pPr>
        <w:pStyle w:val="ListNumber"/>
      </w:pPr>
      <w:r>
        <w:t>The data desk keys draft close values onto the charity place records from an export. Check every record against the agreement; correct the ones that are wrong and leave the right ones alone.</w:t>
      </w:r>
    </w:p>
    <w:p>
      <w:pPr>
        <w:pStyle w:val="ListNumber"/>
      </w:pPr>
      <w:r>
        <w:t>Raise amounts due as invoices in the accounts system. Payment links are not used for close-out.</w:t>
      </w:r>
    </w:p>
    <w:p>
      <w:pPr>
        <w:pStyle w:val="ListNumber"/>
      </w:pPr>
      <w:r>
        <w:t>Send each runner one close-out notice under SC-2 once their record and any invoice are done.</w:t>
      </w:r>
    </w:p>
    <w:p>
      <w:pPr>
        <w:pStyle w:val="ListNumber"/>
      </w:pPr>
      <w:r>
        <w:t>Offer early entry under the agreement, through the early-entry list.</w:t>
      </w:r>
    </w:p>
    <w:p>
      <w:pPr>
        <w:pStyle w:val="ListNumber"/>
      </w:pPr>
      <w:r>
        <w:t>Look for deferral requests in every channel the agreement names, and for refunds on the supporter care desk tickets.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CP-9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CP-9: closing out charity places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