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PMC-LPD-03 Listing practice direction, first edition</w:t>
      </w:r>
    </w:p>
    <w:p>
      <w:r>
        <w:rPr>
          <w:i/>
        </w:rPr>
        <w:t>First edition, 2024-05-13. SUPERSEDED by the second edition for lists built on or after 2026-10-12.</w:t>
      </w:r>
    </w:p>
    <w:p>
      <w:r>
        <w:t>Cases are listed in charge-date order in the first courtroom with room. Youth cases may be listed in any courtroom. Interpreters are booked by the day. A relisted case goes to the end of the queue. Civil business pays a flat 200.00 hearing fee.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PMC-LPD-03 first edition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PMC-LPD-03 Listing practice direction, first edition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