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PMC-LPD-03 Listing practice direction, second edition</w:t>
      </w:r>
    </w:p>
    <w:p>
      <w:r>
        <w:t>Second edition. Issued by the Bench Chair and the Justices' Clerk on 2026-09-28. In force for every list built on or after 2026-10-12. Supersedes the first edition in full.</w:t>
      </w:r>
    </w:p>
    <w:p>
      <w:pPr>
        <w:pStyle w:val="Heading1"/>
      </w:pPr>
      <w:r>
        <w:t>1. What is in a listing round</w:t>
      </w:r>
    </w:p>
    <w:p>
      <w:r>
        <w:t>A listing round covers every case on the listing queue and every case the case change log returns to listing (an ADJOURNED entry directing a relisting). The case change log is the record of a case's status: entries are taken in EVENT TIME order and the latest entry by event time speaks, whatever order they reached the office. A case DISCONTINUED, TRANSFERRED to another court or WITHDRAWN is not listed. A case JOINED with another is heard with it under the other case's reference and is not listed on its own. The status and category columns of the queue are not maintained after the queue is drawn and decide nothing.</w:t>
      </w:r>
    </w:p>
    <w:p>
      <w:pPr>
        <w:pStyle w:val="Heading1"/>
      </w:pPr>
      <w:r>
        <w:t>2. The order cases are listed in</w:t>
      </w:r>
    </w:p>
    <w:p>
      <w:r>
        <w:t>Cases are listed one at a time in this order: (1) defendants remanded in custody, earliest custody time limit first; (2) youth cases, earliest charge date first; (3) cases with a statutory time limit, earliest limit first; (4) all other criminal cases, earliest charge date first; (5) civil complaints and applications, earliest application date first. Ties go to the lower case reference. A relisted case takes its place in this order like any other; it does not go to the end.</w:t>
      </w:r>
    </w:p>
    <w:p>
      <w:pPr>
        <w:pStyle w:val="Heading1"/>
      </w:pPr>
      <w:r>
        <w:t>3. Placing a case</w:t>
      </w:r>
    </w:p>
    <w:p>
      <w:r>
        <w:t>Each case is placed in the earliest sitting of the fortnight (date, morning before afternoon, then the lower courtroom number) that meets every condition: the courtroom is the right kind (youth cases in the youth court only, all other cases in an adult courtroom); the sitting has at least the case's time estimate left after the cases already placed in it; the sitting is not earlier than any not-before date for the case (a case may be heard on that date), whether the date is in the listing directions or in a direction of the court made since, which the legal adviser passes to the listing office quoting the order number; the defence advocate is not unavailable that day on the change log; and, where the case needs an interpreter, an interpreter for that language is on the roster for that date and sitting and has not already been given to another hearing in it (one hearing per interpreter per sitting). A sitting cancelled by the bench is not available. Time estimates from desk B are in hours and are converted at 60 minutes to the hour.</w:t>
      </w:r>
    </w:p>
    <w:p>
      <w:r>
        <w:t>A custody case must be placed in a sitting on or before its custody time limit. A custody case that cannot be is not placed at all: it is referred to the bench and an exception is raised. Any other case that fits no sitting in the fortnight is not listed this fortnight.</w:t>
      </w:r>
    </w:p>
    <w:p>
      <w:r>
        <w:t>Within a sitting, cases are heard in the order they were placed: the first at the sitting's start time and each one after at the time the one before is estimated to finish.</w:t>
      </w:r>
    </w:p>
    <w:p>
      <w:pPr>
        <w:pStyle w:val="Heading1"/>
      </w:pPr>
      <w:r>
        <w:t>4. The court list register</w:t>
      </w:r>
    </w:p>
    <w:p>
      <w:r>
        <w:t>Every case in the round has exactly one line in the court list register, under one of these headings, in these words: Listed; Not listed this fortnight; Referred to the bench; Discontinued; Transferred out; Withdrawn. A Listed line carries the hearing date, courtroom and sitting and, for civil business, the fee due; every other line carries no date, courtroom or sitting and a fee of 0.00. A case with no line gets one; a line for a case joined with another is removed.</w:t>
      </w:r>
    </w:p>
    <w:p>
      <w:pPr>
        <w:pStyle w:val="Heading1"/>
      </w:pPr>
      <w:r>
        <w:t>5. Listing exceptions</w:t>
      </w:r>
    </w:p>
    <w:p>
      <w:r>
        <w:t>An open item is removed when the thing it was waiting for is now on record (an interpreter on the roster for the case's sitting; a valid help with fees decision on file). Amounts are restated to the latest statement from court finance. New items are raised under the kinds 'Custody time limit at risk' and 'Remission not valid'; other open items are left as they are.</w:t>
      </w:r>
    </w:p>
    <w:p>
      <w:pPr>
        <w:pStyle w:val="Heading1"/>
      </w:pPr>
      <w:r>
        <w:t>Appendix A. Authorised remission officers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Initials</w:t>
            </w:r>
          </w:p>
        </w:tc>
        <w:tc>
          <w:tcPr>
            <w:tcW w:type="dxa" w:w="2160"/>
          </w:tcPr>
          <w:p>
            <w:r>
              <w:t>Name</w:t>
            </w:r>
          </w:p>
        </w:tc>
        <w:tc>
          <w:tcPr>
            <w:tcW w:type="dxa" w:w="2160"/>
          </w:tcPr>
          <w:p>
            <w:r>
              <w:t>Authorised from</w:t>
            </w:r>
          </w:p>
        </w:tc>
        <w:tc>
          <w:tcPr>
            <w:tcW w:type="dxa" w:w="2160"/>
          </w:tcPr>
          <w:p>
            <w:r>
              <w:t>Authorisation ended</w:t>
            </w:r>
          </w:p>
        </w:tc>
      </w:tr>
      <w:tr>
        <w:tc>
          <w:tcPr>
            <w:tcW w:type="dxa" w:w="2160"/>
          </w:tcPr>
          <w:p>
            <w:r>
              <w:t>CF</w:t>
            </w:r>
          </w:p>
        </w:tc>
        <w:tc>
          <w:tcPr>
            <w:tcW w:type="dxa" w:w="2160"/>
          </w:tcPr>
          <w:p>
            <w:r>
              <w:t>C. Fenner</w:t>
            </w:r>
          </w:p>
        </w:tc>
        <w:tc>
          <w:tcPr>
            <w:tcW w:type="dxa" w:w="2160"/>
          </w:tcPr>
          <w:p>
            <w:r>
              <w:t>2024-03-01</w:t>
            </w:r>
          </w:p>
        </w:tc>
        <w:tc>
          <w:tcPr>
            <w:tcW w:type="dxa" w:w="2160"/>
          </w:tcPr>
          <w:p>
            <w:r/>
          </w:p>
        </w:tc>
      </w:tr>
      <w:tr>
        <w:tc>
          <w:tcPr>
            <w:tcW w:type="dxa" w:w="2160"/>
          </w:tcPr>
          <w:p>
            <w:r>
              <w:t>DP</w:t>
            </w:r>
          </w:p>
        </w:tc>
        <w:tc>
          <w:tcPr>
            <w:tcW w:type="dxa" w:w="2160"/>
          </w:tcPr>
          <w:p>
            <w:r>
              <w:t>D. Pryce</w:t>
            </w:r>
          </w:p>
        </w:tc>
        <w:tc>
          <w:tcPr>
            <w:tcW w:type="dxa" w:w="2160"/>
          </w:tcPr>
          <w:p>
            <w:r>
              <w:t>2025-01-06</w:t>
            </w:r>
          </w:p>
        </w:tc>
        <w:tc>
          <w:tcPr>
            <w:tcW w:type="dxa" w:w="2160"/>
          </w:tcPr>
          <w:p>
            <w:r/>
          </w:p>
        </w:tc>
      </w:tr>
      <w:tr>
        <w:tc>
          <w:tcPr>
            <w:tcW w:type="dxa" w:w="2160"/>
          </w:tcPr>
          <w:p>
            <w:r>
              <w:t>HW</w:t>
            </w:r>
          </w:p>
        </w:tc>
        <w:tc>
          <w:tcPr>
            <w:tcW w:type="dxa" w:w="2160"/>
          </w:tcPr>
          <w:p>
            <w:r>
              <w:t>H. Wragg</w:t>
            </w:r>
          </w:p>
        </w:tc>
        <w:tc>
          <w:tcPr>
            <w:tcW w:type="dxa" w:w="2160"/>
          </w:tcPr>
          <w:p>
            <w:r>
              <w:t>2021-09-01</w:t>
            </w:r>
          </w:p>
        </w:tc>
        <w:tc>
          <w:tcPr>
            <w:tcW w:type="dxa" w:w="2160"/>
          </w:tcPr>
          <w:p>
            <w:r>
              <w:t>2026-08-31</w:t>
            </w:r>
          </w:p>
        </w:tc>
      </w:tr>
      <w:tr>
        <w:tc>
          <w:tcPr>
            <w:tcW w:type="dxa" w:w="2160"/>
          </w:tcPr>
          <w:p>
            <w:r>
              <w:t>SN</w:t>
            </w:r>
          </w:p>
        </w:tc>
        <w:tc>
          <w:tcPr>
            <w:tcW w:type="dxa" w:w="2160"/>
          </w:tcPr>
          <w:p>
            <w:r>
              <w:t>S. Nair</w:t>
            </w:r>
          </w:p>
        </w:tc>
        <w:tc>
          <w:tcPr>
            <w:tcW w:type="dxa" w:w="2160"/>
          </w:tcPr>
          <w:p>
            <w:r>
              <w:t>2026-09-14</w:t>
            </w:r>
          </w:p>
        </w:tc>
        <w:tc>
          <w:tcPr>
            <w:tcW w:type="dxa" w:w="2160"/>
          </w:tcPr>
          <w:p>
            <w:r/>
          </w:p>
        </w:tc>
      </w:tr>
    </w:tbl>
    <w:p>
      <w:r>
        <w:t xml:space="preserve">A chambers not-before order forwarded by the legal adviser governs both criminal and civil cases. Apply it before deciding listing and fee eligibility. If the order leaves no eligible sitting in this round the case is unlisted, so no payable hearing or remission against that hearing is carried into the fee statement.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PMC-LPD-03 second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PMC-LPD-03 Listing practice direction, second edition</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