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Pellbridge civil business fees order 2026</w:t>
      </w:r>
    </w:p>
    <w:p>
      <w:r>
        <w:t>Made 2026-06-22. Applies to every civil hearing listed on or after 2026-07-06 until replaced.</w:t>
      </w:r>
    </w:p>
    <w:p>
      <w:pPr>
        <w:pStyle w:val="Heading1"/>
      </w:pPr>
      <w:r>
        <w:t>1. Fees</w:t>
      </w:r>
    </w:p>
    <w:p>
      <w:r>
        <w:t>A hearing fee is due when a civil complaint or application is listed for hearing. The fee for each kind of business is in Appendix A. For a batch of council tax liability order complaints the fee is per defendant on the batch who is still being proceeded against on the listing date: lines the council has withdrawn are not charged.</w:t>
      </w:r>
    </w:p>
    <w:p>
      <w:pPr>
        <w:pStyle w:val="Heading1"/>
      </w:pPr>
      <w:r>
        <w:t>2. Help with fees</w:t>
      </w:r>
    </w:p>
    <w:p>
      <w:r>
        <w:t>A help with fees decision reduces the fee only if it is signed by an officer authorised under Appendix A of the listing practice direction on the date it was signed, and is still valid on the hearing date. A full remission makes the fee 0.00; a part remission makes the fee the amount the decision says is payable. Fees are stated to the penny.</w:t>
      </w:r>
    </w:p>
    <w:p>
      <w:pPr>
        <w:pStyle w:val="Heading1"/>
      </w:pPr>
      <w:r>
        <w:t>Appendix A. Fees</w:t>
      </w:r>
    </w:p>
    <w:tbl>
      <w:tblPr>
        <w:tblStyle w:val="TableGrid"/>
        <w:tblW w:type="auto" w:w="0"/>
        <w:tblLook w:firstColumn="1" w:firstRow="1" w:lastColumn="0" w:lastRow="0" w:noHBand="0" w:noVBand="1" w:val="04A0"/>
      </w:tblPr>
      <w:tblGrid>
        <w:gridCol w:w="4320"/>
        <w:gridCol w:w="4320"/>
      </w:tblGrid>
      <w:tr>
        <w:tc>
          <w:tcPr>
            <w:tcW w:type="dxa" w:w="4320"/>
          </w:tcPr>
          <w:p>
            <w:r>
              <w:t>Business</w:t>
            </w:r>
          </w:p>
        </w:tc>
        <w:tc>
          <w:tcPr>
            <w:tcW w:type="dxa" w:w="4320"/>
          </w:tcPr>
          <w:p>
            <w:r>
              <w:t>Fee</w:t>
            </w:r>
          </w:p>
        </w:tc>
      </w:tr>
      <w:tr>
        <w:tc>
          <w:tcPr>
            <w:tcW w:type="dxa" w:w="4320"/>
          </w:tcPr>
          <w:p>
            <w:r>
              <w:t>licensing appeal</w:t>
            </w:r>
          </w:p>
        </w:tc>
        <w:tc>
          <w:tcPr>
            <w:tcW w:type="dxa" w:w="4320"/>
          </w:tcPr>
          <w:p>
            <w:r>
              <w:t>275.00</w:t>
            </w:r>
          </w:p>
        </w:tc>
      </w:tr>
      <w:tr>
        <w:tc>
          <w:tcPr>
            <w:tcW w:type="dxa" w:w="4320"/>
          </w:tcPr>
          <w:p>
            <w:r>
              <w:t>closure order</w:t>
            </w:r>
          </w:p>
        </w:tc>
        <w:tc>
          <w:tcPr>
            <w:tcW w:type="dxa" w:w="4320"/>
          </w:tcPr>
          <w:p>
            <w:r>
              <w:t>205.00</w:t>
            </w:r>
          </w:p>
        </w:tc>
      </w:tr>
      <w:tr>
        <w:tc>
          <w:tcPr>
            <w:tcW w:type="dxa" w:w="4320"/>
          </w:tcPr>
          <w:p>
            <w:r>
              <w:t>dog control</w:t>
            </w:r>
          </w:p>
        </w:tc>
        <w:tc>
          <w:tcPr>
            <w:tcW w:type="dxa" w:w="4320"/>
          </w:tcPr>
          <w:p>
            <w:r>
              <w:t>225.00</w:t>
            </w:r>
          </w:p>
        </w:tc>
      </w:tr>
      <w:tr>
        <w:tc>
          <w:tcPr>
            <w:tcW w:type="dxa" w:w="4320"/>
          </w:tcPr>
          <w:p>
            <w:r>
              <w:t>liability order (per defendant)</w:t>
            </w:r>
          </w:p>
        </w:tc>
        <w:tc>
          <w:tcPr>
            <w:tcW w:type="dxa" w:w="4320"/>
          </w:tcPr>
          <w:p>
            <w:r>
              <w:t>3.00</w:t>
            </w:r>
          </w:p>
        </w:tc>
      </w:tr>
    </w:tbl>
    <w:p>
      <w:r>
        <w:t xml:space="preserve">An exception awaiting remission evidence is settled when a signed decision from an officer authorised on the signing date has arrived and is current on the list date, including when the case is not listed. Receiving the evidence does not create a hearing, make a fee payable or deduct remission from an unlisted case.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Civil fees order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Pellbridge civil business fees order 2026</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