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Pellbridge court users' charter</w:t>
      </w:r>
    </w:p>
    <w:p>
      <w:r>
        <w:t>We aim to answer letters within ten working days, to start hearings on time and to keep court users informed. Complaints go to the delivery manager.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Pellbridge court users' charter</dc:title>
  <dc:subject/>
  <dc:creator>records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