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digest, quarter 3</w:t>
      </w:r>
    </w:p>
    <w:p>
      <w:r>
        <w:t>Effective trial rate rose to 41 per cent; cracked trials fell; average time from charge to completion 142 days.</w:t>
      </w:r>
    </w:p>
    <w:p>
      <w:r>
        <w:t>The digest is for management information and sets no listing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digest, quarter 3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