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Listing crib sheet (office copy)</w:t>
      </w:r>
    </w:p>
    <w:p>
      <w:r>
        <w:t>Quick reference, May 2026:</w:t>
      </w:r>
    </w:p>
    <w:p>
      <w:pPr>
        <w:pStyle w:val="ListBullet"/>
      </w:pPr>
      <w:r>
        <w:t>Civil hearing fee: 200.00 flat.</w:t>
      </w:r>
    </w:p>
    <w:p>
      <w:pPr>
        <w:pStyle w:val="ListBullet"/>
      </w:pPr>
      <w:r>
        <w:t>Desk B estimates are minutes.</w:t>
      </w:r>
    </w:p>
    <w:p>
      <w:pPr>
        <w:pStyle w:val="ListBullet"/>
      </w:pPr>
      <w:r>
        <w:t>Book an interpreter for the whole day.</w:t>
      </w:r>
    </w:p>
    <w:p>
      <w:pPr>
        <w:pStyle w:val="ListBullet"/>
      </w:pPr>
      <w:r>
        <w:t>Youth cases can go anywhere there is room.</w:t>
      </w:r>
    </w:p>
    <w:p>
      <w:pPr>
        <w:pStyle w:val="ListBullet"/>
      </w:pPr>
      <w:r>
        <w:t>Adjourned cases go to the back of the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Listing crib sheet (office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