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Note on running a listing round</w:t>
      </w:r>
    </w:p>
    <w:p>
      <w:r>
        <w:t>The listing queue is drawn on the Monday a week before the round. Cases adjourned since then come back through the case change log and the courtroom clerk's mail, not the queue. Bench changes to sittings come from the bench chair, by mail or on the bench chair's sittings calendar, and are not always on the sessions table; a sitting the chair has moved on that calendar sits where and when the calendar now shows it.</w:t>
      </w:r>
    </w:p>
    <w:p>
      <w:r>
        <w:t>Anything that happens to a case after its change log page was printed reaches the office by email from a courtroom clerk, the custody suite or a case progression desk, and counts as a change log entry at the time it states. A defence firm gives notice of an advocate's unavailability by email to the office; the notice counts as an ADVOCATE UNAVAILABLE entry from the time it was sent.</w:t>
      </w:r>
    </w:p>
    <w:p>
      <w:r>
        <w:t>A council's liability order batch is charged on its tally as checked, less every summons the council has withdrawn since. The council's revenues team does not reprint the tally: it reports each later withdrawal straight to the listing office, and a summons withdrawn before the hearing is not charged.</w:t>
      </w:r>
    </w:p>
    <w:p>
      <w:r>
        <w:t>Civil applicants ask for a hearing on the listing request form. The queue copies the first submission; when an applicant resubmits the form, the latest submission replaces the earlier ones, time estimate included.</w:t>
      </w:r>
    </w:p>
    <w:p>
      <w:r>
        <w:t>The interpreter roster is kept by the interpreter coordinator on the listing office wiki; the roster file in the logs folder is the copy printed when the queue was drawn, and the wiki page's current version replaces it. The listing directions hold not-before dates. The change log is the record of custody status, advocate availability and case outcomes.</w:t>
      </w:r>
    </w:p>
    <w:p>
      <w:r>
        <w:t>An interpreter who can no longer cover a sitting on the roster tells the listing office directly, usually by a message to the listing number. That sitting is then off the roster for that interpreter, whether or not the coordinator has reissued the roster.</w:t>
      </w:r>
    </w:p>
    <w:p>
      <w:r>
        <w:t>Court users, and the firms and clerks who act for them, also reach the office through the court's web-chat. The duty officer answers there and writes what was agreed into a note on the conversation; such a note carries the same weight as a message to the listing number.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on running a listing round</dc:title>
  <dc:subject/>
  <dc:creator>records</dc:creator>
  <cp:keywords/>
  <dc:description>generated by python-docx</dc:description>
  <cp:lastModifiedBy/>
  <cp:revision>1</cp:revision>
  <dcterms:created xsi:type="dcterms:W3CDTF">2013-12-23T23:15:00Z</dcterms:created>
  <dcterms:modified xsi:type="dcterms:W3CDTF">2013-12-23T23:15:00Z</dcterms:modified>
  <cp:category/>
</cp:coreProperties>
</file>