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for the allocations desk</w:t>
      </w:r>
    </w:p>
    <w:p>
      <w:r>
        <w:t>The cold store is shared with Northgate depot; the bay plan shows whose stock is in which bay. The cold store record is updated at the weekly stock count, so holds and releases since Sunday are on the QC inspection log. Goods-in rejects are on the goods-in tally, not on the delivery note.</w:t>
      </w:r>
    </w:p>
    <w:p>
      <w:r>
        <w:t>Customers change orders by mail, through the customer service desk and by WhatsApp message to the depot's line. Some also text the depot's customer text line, a number of its own on the depot's SMS account. Credit stops reach us from credit control by mail, not on the account record. Class changes come as signed contract variation letters, which are scanned. Growers' accounts teams sometimes write to the Quayside office mailbox rather than to the desk; the desk can read that mailbox too.</w:t>
      </w:r>
    </w:p>
    <w:p>
      <w:r>
        <w:t>Out of hours the phones go to voicemail; the night desk types each message up as a note in the desk's notes app. Account managers keep their notes on the buyer's contact in the trade CRM. Invoices, payments and credit notes are on the accounts ledger, which credit control works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for the allocations desk</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