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PL-12 second issue, corrigendum 1</w:t>
      </w:r>
    </w:p>
    <w:p>
      <w:r>
        <w:t>Published 2026-12-02. Commences 2027-01-04 and applies to deliveries on or after that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Corrected price (pounds)</w:t>
            </w:r>
          </w:p>
        </w:tc>
      </w:tr>
      <w:tr>
        <w:tc>
          <w:tcPr>
            <w:tcW w:type="dxa" w:w="2880"/>
          </w:tcPr>
          <w:p>
            <w:r>
              <w:t>P-11</w:t>
            </w:r>
          </w:p>
        </w:tc>
        <w:tc>
          <w:tcPr>
            <w:tcW w:type="dxa" w:w="2880"/>
          </w:tcPr>
          <w:p>
            <w:r>
              <w:t>Vine tomatoes</w:t>
            </w:r>
          </w:p>
        </w:tc>
        <w:tc>
          <w:tcPr>
            <w:tcW w:type="dxa" w:w="2880"/>
          </w:tcPr>
          <w:p>
            <w:r>
              <w:t>15.10</w:t>
            </w:r>
          </w:p>
        </w:tc>
      </w:tr>
      <w:tr>
        <w:tc>
          <w:tcPr>
            <w:tcW w:type="dxa" w:w="2880"/>
          </w:tcPr>
          <w:p>
            <w:r>
              <w:t>P-16</w:t>
            </w:r>
          </w:p>
        </w:tc>
        <w:tc>
          <w:tcPr>
            <w:tcW w:type="dxa" w:w="2880"/>
          </w:tcPr>
          <w:p>
            <w:r>
              <w:t>Clementines</w:t>
            </w:r>
          </w:p>
        </w:tc>
        <w:tc>
          <w:tcPr>
            <w:tcW w:type="dxa" w:w="2880"/>
          </w:tcPr>
          <w:p>
            <w:r>
              <w:t>14.20</w:t>
            </w:r>
          </w:p>
        </w:tc>
      </w:tr>
    </w:tbl>
    <w:p>
      <w:r>
        <w:rPr>
          <w:i/>
        </w:rPr>
        <w:t>Deliveries made before 4 January 2027 stay at the second-issue prices; this correction does not reach back to them.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Corrigendum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PL-12 second issue, corrigendum 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