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TT-4 Allocation terms for short supply, third edition</w:t>
      </w:r>
    </w:p>
    <w:p>
      <w:r>
        <w:t>Third edition. Approved by the trading committee on 2026-11-09. In force for every delivery day on or after 2026-11-23. Supersedes the second edition in full.</w:t>
      </w:r>
    </w:p>
    <w:p>
      <w:pPr>
        <w:pStyle w:val="Heading1"/>
      </w:pPr>
      <w:r>
        <w:t>1. What is allocated</w:t>
      </w:r>
    </w:p>
    <w:p>
      <w:r>
        <w:t>Allocation covers every Quayside order line for the delivery day. An order line is as the customer last changed it in writing before the cut-off, which is 06:00 on the day before delivery. A change in writing is a mail to the depot, a message on the customer service desk, or a WhatsApp message from the customer to the depot's WhatsApp line; a reply a customer adds to any of their service desk tickets counts the same as a new ticket. A voicemail a customer leaves out of hours counts as a change in writing once the night desk has transcribed it into its voicemail transcripts notebook, and from the time of the voicemail. A customer may reduce, cancel or add a line this way. Anything received after the cut-off does not count for that delivery. An account on credit stop at the cut-off is allocated nothing; credit stops and their lifting come from credit control by mail, and the latest word from credit control before the cut-off governs. Where credit control's stop names an invoice that must be cleared, the stop ends as soon as the accounts ledger shows that invoice cleared before the cut-off, whether by payment or by an authorised credit note raised against it for the full amount; until then it stands.</w:t>
      </w:r>
    </w:p>
    <w:p>
      <w:pPr>
        <w:pStyle w:val="Heading1"/>
      </w:pPr>
      <w:r>
        <w:t>2. Stock</w:t>
      </w:r>
    </w:p>
    <w:p>
      <w:r>
        <w:t>Stock for a product is the cases on the grower's signed delivery note for the delivery, less the cases rejected at goods-in on the goods-in tally, plus Quayside carry-over lots in the cold store. A carry-over lot counts only if it is in a Quayside bay on the cold store bay plan, its best-before date is on or after the delivery date, and it is not on quality hold. A lot comes off quality hold when the QC inspection log shows it released and verified. Quantities on the purchase order are what we asked the grower for, not stock.</w:t>
      </w:r>
    </w:p>
    <w:p>
      <w:pPr>
        <w:pStyle w:val="Heading1"/>
      </w:pPr>
      <w:r>
        <w:t>3. Order of allocation</w:t>
      </w:r>
    </w:p>
    <w:p>
      <w:r>
        <w:t>Each product is allocated on its own, contract class by contract class: class A first, then B, then C, then D. The class is the class on the account record unless a contract variation letter changes it from a date on or before the delivery date; a variation counts only if it is signed by a person on the Appendix C signatory register on the date of signing. Where the cases left cover a class's orders for the product, every line in the class gets its full order and what remains passes to the next class. Where they do not, each line in the class gets the cases left times its order divided by the class total, rounded down to whole cases; any cases still left go one at a time to the lines with the largest fraction rounded off, ties to the line ordered earlier, then the lower account number. Later classes get none of that product.</w:t>
      </w:r>
    </w:p>
    <w:p>
      <w:pPr>
        <w:pStyle w:val="Heading1"/>
      </w:pPr>
      <w:r>
        <w:t>4. Substitutes</w:t>
      </w:r>
    </w:p>
    <w:p>
      <w:r>
        <w:t>When every product has been allocated, a line that got fewer cases than it ordered, for an account whose record says it accepts substitutes, may be made up from the substitute the substitution chart names for that product, out of the substitute's cases left after its own allocation. Short lines are offered substitutes class by class in the order above, then by the time the line was ordered, each up to its shortfall, until none are left. A substitute supply is a line of its own in the register under the account, carrying the substitute product, headed Substitute supplied. A substitute case is charged at the price of the product ordered or of the substitute, whichever is lower. Whether an account accepts substitutes is as on the account record, except that a change the account manager has since logged on the customer's contact in the trade CRM, dated before the cut-off, governs until the record is next refreshed.</w:t>
      </w:r>
    </w:p>
    <w:p>
      <w:pPr>
        <w:pStyle w:val="Heading1"/>
      </w:pPr>
      <w:r>
        <w:t>5. Minimum drop</w:t>
      </w:r>
    </w:p>
    <w:p>
      <w:r>
        <w:t>When the allocation and substitutes are done, a class C or D account that has been allocated at least one case and whose allocation is worth less than the minimum drop in Appendix B (cases at the price-list price, substitutes at the price charged, before any discount) is withdrawn from the delivery. Withdraw one account at a time, the one with the lowest value first (ties: the lower account number), then run the whole allocation again, substitutes included, without it, and repeat until every class C and D account with an allocation meets the minimum. Class A and B accounts are never withdrawn.</w:t>
      </w:r>
    </w:p>
    <w:p>
      <w:pPr>
        <w:pStyle w:val="Heading1"/>
      </w:pPr>
      <w:r>
        <w:t>6. Register headings</w:t>
      </w:r>
    </w:p>
    <w:p>
      <w:r>
        <w:t>Every order line has exactly one line in the allocation register, under one of these headings, in these words: Allocated in full; Allocated in part; Nil - stock exhausted; Held - credit stop; Cancelled by customer; Withdrawn - below minimum drop. A substitute supply has its own line headed Substitute supplied. Only lines headed Allocated in full, Allocated in part or Substitute supplied carry cases allocated and a value; every other line carries 0 cases and 0.00. A line's value is its cases times its price, less the contract discount, rounded to the penny, half up. An order line with no register line gets one; a second register line for the same order line is removed.</w:t>
      </w:r>
    </w:p>
    <w:p>
      <w:pPr>
        <w:pStyle w:val="Heading1"/>
      </w:pPr>
      <w:r>
        <w:t>7. Supply exceptions record</w:t>
      </w:r>
    </w:p>
    <w:p>
      <w:r>
        <w:t>Only matters still outstanding belong on this record. Take a matter off once the thing it was awaiting shows on the depot logs as verified. Where the other party has since confirmed a different amount in writing, the amount becomes that newest figure. Each delivery day adds matters of three kinds only: 'Short supply' (one for every product whose orders could not all be met, carrying the product code), 'Credit stop - not delivered' (one for every account on credit stop, carrying the account number) and 'Below minimum drop' (one for every account withdrawn, carrying the account number). Any other outstanding matter stays exactly as it stands.</w:t>
      </w:r>
    </w:p>
    <w:p>
      <w:pPr>
        <w:pStyle w:val="Heading1"/>
      </w:pPr>
      <w:r>
        <w:t>Appendix B. Minimum drop</w:t>
      </w:r>
    </w:p>
    <w:tbl>
      <w:tblPr>
        <w:tblStyle w:val="TableGrid"/>
        <w:tblW w:type="auto" w:w="0"/>
        <w:tblLook w:firstColumn="1" w:firstRow="1" w:lastColumn="0" w:lastRow="0" w:noHBand="0" w:noVBand="1" w:val="04A0"/>
      </w:tblPr>
      <w:tblGrid>
        <w:gridCol w:w="4320"/>
        <w:gridCol w:w="4320"/>
      </w:tblGrid>
      <w:tr>
        <w:tc>
          <w:tcPr>
            <w:tcW w:type="dxa" w:w="4320"/>
          </w:tcPr>
          <w:p>
            <w:r>
              <w:t>Applies to</w:t>
            </w:r>
          </w:p>
        </w:tc>
        <w:tc>
          <w:tcPr>
            <w:tcW w:type="dxa" w:w="4320"/>
          </w:tcPr>
          <w:p>
            <w:r>
              <w:t>Minimum drop value (pounds)</w:t>
            </w:r>
          </w:p>
        </w:tc>
      </w:tr>
      <w:tr>
        <w:tc>
          <w:tcPr>
            <w:tcW w:type="dxa" w:w="4320"/>
          </w:tcPr>
          <w:p>
            <w:r>
              <w:t>Class C and class D accounts</w:t>
            </w:r>
          </w:p>
        </w:tc>
        <w:tc>
          <w:tcPr>
            <w:tcW w:type="dxa" w:w="4320"/>
          </w:tcPr>
          <w:p>
            <w:r>
              <w:t>50.00</w:t>
            </w:r>
          </w:p>
        </w:tc>
      </w:tr>
    </w:tbl>
    <w:p>
      <w:pPr>
        <w:pStyle w:val="Heading1"/>
      </w:pPr>
      <w:r>
        <w:t>Appendix C. Contract signatories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Initials</w:t>
            </w:r>
          </w:p>
        </w:tc>
        <w:tc>
          <w:tcPr>
            <w:tcW w:type="dxa" w:w="2160"/>
          </w:tcPr>
          <w:p>
            <w:r>
              <w:t>Signatory</w:t>
            </w:r>
          </w:p>
        </w:tc>
        <w:tc>
          <w:tcPr>
            <w:tcW w:type="dxa" w:w="2160"/>
          </w:tcPr>
          <w:p>
            <w:r>
              <w:t>Added to the register</w:t>
            </w:r>
          </w:p>
        </w:tc>
        <w:tc>
          <w:tcPr>
            <w:tcW w:type="dxa" w:w="2160"/>
          </w:tcPr>
          <w:p>
            <w:r>
              <w:t>Taken off the register</w:t>
            </w:r>
          </w:p>
        </w:tc>
      </w:tr>
      <w:tr>
        <w:tc>
          <w:tcPr>
            <w:tcW w:type="dxa" w:w="2160"/>
          </w:tcPr>
          <w:p>
            <w:r>
              <w:t>RP</w:t>
            </w:r>
          </w:p>
        </w:tc>
        <w:tc>
          <w:tcPr>
            <w:tcW w:type="dxa" w:w="2160"/>
          </w:tcPr>
          <w:p>
            <w:r>
              <w:t>R. Pendry</w:t>
            </w:r>
          </w:p>
        </w:tc>
        <w:tc>
          <w:tcPr>
            <w:tcW w:type="dxa" w:w="2160"/>
          </w:tcPr>
          <w:p>
            <w:r>
              <w:t>2024-02-01</w:t>
            </w:r>
          </w:p>
        </w:tc>
        <w:tc>
          <w:tcPr>
            <w:tcW w:type="dxa" w:w="2160"/>
          </w:tcPr>
          <w:p>
            <w:r/>
          </w:p>
        </w:tc>
      </w:tr>
      <w:tr>
        <w:tc>
          <w:tcPr>
            <w:tcW w:type="dxa" w:w="2160"/>
          </w:tcPr>
          <w:p>
            <w:r>
              <w:t>MH</w:t>
            </w:r>
          </w:p>
        </w:tc>
        <w:tc>
          <w:tcPr>
            <w:tcW w:type="dxa" w:w="2160"/>
          </w:tcPr>
          <w:p>
            <w:r>
              <w:t>M. Hollis</w:t>
            </w:r>
          </w:p>
        </w:tc>
        <w:tc>
          <w:tcPr>
            <w:tcW w:type="dxa" w:w="2160"/>
          </w:tcPr>
          <w:p>
            <w:r>
              <w:t>2019-05-01</w:t>
            </w:r>
          </w:p>
        </w:tc>
        <w:tc>
          <w:tcPr>
            <w:tcW w:type="dxa" w:w="2160"/>
          </w:tcPr>
          <w:p>
            <w:r>
              <w:t>2026-10-30</w:t>
            </w:r>
          </w:p>
        </w:tc>
      </w:tr>
      <w:tr>
        <w:tc>
          <w:tcPr>
            <w:tcW w:type="dxa" w:w="2160"/>
          </w:tcPr>
          <w:p>
            <w:r>
              <w:t>SA</w:t>
            </w:r>
          </w:p>
        </w:tc>
        <w:tc>
          <w:tcPr>
            <w:tcW w:type="dxa" w:w="2160"/>
          </w:tcPr>
          <w:p>
            <w:r>
              <w:t>S. Achterberg</w:t>
            </w:r>
          </w:p>
        </w:tc>
        <w:tc>
          <w:tcPr>
            <w:tcW w:type="dxa" w:w="2160"/>
          </w:tcPr>
          <w:p>
            <w:r>
              <w:t>2025-09-01</w:t>
            </w:r>
          </w:p>
        </w:tc>
        <w:tc>
          <w:tcPr>
            <w:tcW w:type="dxa" w:w="2160"/>
          </w:tcPr>
          <w:p>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TT-4 third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TT-4 Allocation terms for short supply, third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