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Autumn 2026 season close (as presented to the board)</w:t>
      </w:r>
    </w:p>
    <w:p>
      <w:r>
        <w:t>Headline: cost of plants sold 9,412.60 pounds; closing stock 1,288.45 pounds; frost loss nil (first edition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Variety</w:t>
            </w:r>
          </w:p>
        </w:tc>
        <w:tc>
          <w:tcPr>
            <w:tcW w:type="dxa" w:w="4320"/>
          </w:tcPr>
          <w:p>
            <w:r>
              <w:t>Cost of sales</w:t>
            </w:r>
          </w:p>
        </w:tc>
      </w:tr>
      <w:tr>
        <w:tc>
          <w:tcPr>
            <w:tcW w:type="dxa" w:w="4320"/>
          </w:tcPr>
          <w:p>
            <w:r>
              <w:t>Lavender</w:t>
            </w:r>
          </w:p>
        </w:tc>
        <w:tc>
          <w:tcPr>
            <w:tcW w:type="dxa" w:w="4320"/>
          </w:tcPr>
          <w:p>
            <w:r>
              <w:t>2,104.20</w:t>
            </w:r>
          </w:p>
        </w:tc>
      </w:tr>
      <w:tr>
        <w:tc>
          <w:tcPr>
            <w:tcW w:type="dxa" w:w="4320"/>
          </w:tcPr>
          <w:p>
            <w:r>
              <w:t>Box</w:t>
            </w:r>
          </w:p>
        </w:tc>
        <w:tc>
          <w:tcPr>
            <w:tcW w:type="dxa" w:w="4320"/>
          </w:tcPr>
          <w:p>
            <w:r>
              <w:t>1,622.40</w:t>
            </w:r>
          </w:p>
        </w:tc>
      </w:tr>
      <w:tr>
        <w:tc>
          <w:tcPr>
            <w:tcW w:type="dxa" w:w="4320"/>
          </w:tcPr>
          <w:p>
            <w:r>
              <w:t>Roses</w:t>
            </w:r>
          </w:p>
        </w:tc>
        <w:tc>
          <w:tcPr>
            <w:tcW w:type="dxa" w:w="4320"/>
          </w:tcPr>
          <w:p>
            <w:r>
              <w:t>2,980.00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2,706.00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Autumn 2026 season close (as presented to the board)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