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 on the stock journal</w:t>
      </w:r>
    </w:p>
    <w:p>
      <w:r>
        <w:t>The stock journal is printed in the order entries reached the finance desk (filing sequence). The yard and the sales office file in batches, so a movement can reach the desk days after movements that happened later. The event time on each line is when the movement happened.</w:t>
      </w:r>
    </w:p>
    <w:p>
      <w:r>
        <w:t>Opening stock is on the opening stock sheet. Supplier prices and quantities are on the supplier invoice register; trays are converted with the plants per tray on the varieties record. The goods-in tally and the credit notes are in the scans folder; the bench plan is in the drawings.</w:t>
      </w:r>
    </w:p>
    <w:p>
      <w:r>
        <w:t>Sales invoices are issued by the sales office (L. Marsh); debit notes to suppliers are raised by the purchase ledger (M. Okafor). The yard keeps its own working notes of what stands on the benches for picking; they are counts of the moment, not the stock record, and decide nothing at the close.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on the stock journal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