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TN-FIN-04 Stock costing standard, second edition</w:t>
      </w:r>
    </w:p>
    <w:p>
      <w:r>
        <w:t>Second edition. Approved by the board on 2027-02-15. In force for every selling season that starts on or after 2027-03-01. Supersedes the first edition in full.</w:t>
      </w:r>
    </w:p>
    <w:p>
      <w:pPr>
        <w:pStyle w:val="Heading1"/>
      </w:pPr>
      <w:r>
        <w:t>1. What the season close states</w:t>
      </w:r>
    </w:p>
    <w:p>
      <w:r>
        <w:t>The close states three figures at landed cost: the cost of plants sold in the season, net of plants returned to stock; the value of stock held at the close; and the cost of plants lost to frost. Selling prices and the catalogue list price never enter any of them.</w:t>
      </w:r>
    </w:p>
    <w:p>
      <w:pPr>
        <w:pStyle w:val="Heading1"/>
      </w:pPr>
      <w:r>
        <w:t>2. Order of movements</w:t>
      </w:r>
    </w:p>
    <w:p>
      <w:r>
        <w:t>Stock movements are taken in EVENT TIME order: the time the plants were received, invoiced, returned, written off or credited. The filing sequence on the journal pages is the order entries reached the finance desk and decides nothing. An invoice cancelled before dispatch is not a movement.</w:t>
      </w:r>
    </w:p>
    <w:p>
      <w:pPr>
        <w:pStyle w:val="Heading1"/>
      </w:pPr>
      <w:r>
        <w:t>3. Lots and first in, first out</w:t>
      </w:r>
    </w:p>
    <w:p>
      <w:r>
        <w:t>Every receipt is a lot. Opening stock is a lot per variety at its counted landed cost. A sale draws its plants from the variety's lots in the order they came into stock (in-stock date, then lot reference), taking the oldest lot holding plants first and moving to the next only when it is empty. Plants returned to stock in saleable condition come back as a new lot, dated the day of the return, at the unit cost of the last lot the original sale drew from; they do not go back into the lot they came out of. The new lot takes the reference of the customer credit note that returned the plants (for example SC-12). A return reduces the cost of plants sold by its value. Lots of any other business, whatever group it belongs to, are not our stock.</w:t>
      </w:r>
    </w:p>
    <w:p>
      <w:pPr>
        <w:pStyle w:val="Heading1"/>
      </w:pPr>
      <w:r>
        <w:t>4. Landed cost of a lot</w:t>
      </w:r>
    </w:p>
    <w:p>
      <w:r>
        <w:t>Landed cost per plant = supplier price per plant + the handling charge in Appendix A for the date the lot was received. Where a supplier prices by the tray, the price per plant is the tray price divided by the plants per tray on the varieties record, to the penny, half up. Where the delivery note carries no quantity, the lot is the saleable trays on the goods-in tally; rejected trays are not received. Plants the goods-in log records as rejected on arrival are not received either: the lot is the plants delivered less those rejected.</w:t>
      </w:r>
    </w:p>
    <w:p>
      <w:r>
        <w:t>A supplier credit note changes the supplier price of a lot only when it has been accepted for the purchase ledger by an approver who was on the Appendix B register on the date of acceptance. An accepted credit applies to plants drawn from the lot on or after its effective date and to the plants the lot still holds at the close; plants drawn before the effective date keep the original cost. A credit note that has not been validly accepted changes nothing, and an exception is raised for it.</w:t>
      </w:r>
    </w:p>
    <w:p>
      <w:pPr>
        <w:pStyle w:val="Heading1"/>
      </w:pPr>
      <w:r>
        <w:t>5. Frost and other write-offs</w:t>
      </w:r>
    </w:p>
    <w:p>
      <w:r>
        <w:t>A frost report states the plants killed bench by bench. The bench plan shows which lot stands on each bench; the plants are written off from that lot, not from the oldest lot of the variety. Written-off plants are valued at the lot's landed cost on the day of the frost.</w:t>
      </w:r>
    </w:p>
    <w:p>
      <w:r>
        <w:t>Plants sent back to a supplier on a debit note leave the lot the debit note names, valued at that lot's landed cost on the day they go; they are not plants sold and they do not come back as a lot.</w:t>
      </w:r>
    </w:p>
    <w:p>
      <w:pPr>
        <w:pStyle w:val="Heading1"/>
      </w:pPr>
      <w:r>
        <w:t>6. Register headings</w:t>
      </w:r>
    </w:p>
    <w:p>
      <w:r>
        <w:t>Every lot, including each lot created by a return, has exactly one line in the stock-lot register, under one of these headings, in these words: Held at season close; Fully drawn; Frost write-off. A lot that still holds plants at the close is Held at season close. An empty lot is Frost write-off when its last plants left it by a write-off, otherwise Fully drawn. The line carries the landed unit cost the lot holds at the close (after any accepted credit), the plants held at the close and their value to the penny. A lot with no line gets one; a second line for the same lot is removed and an exception is raised for it.</w:t>
      </w:r>
    </w:p>
    <w:p>
      <w:pPr>
        <w:pStyle w:val="Heading1"/>
      </w:pPr>
      <w:r>
        <w:t>7. Stock variances ledger</w:t>
      </w:r>
    </w:p>
    <w:p>
      <w:r>
        <w:t>An open item is removed when the document it was waiting for is on file and valid. Amounts are restated to the supplier's latest statement. New items are raised under the kinds 'Credit note not valid' and 'Duplicate lot line'; every other open item is left as it is.</w:t>
      </w:r>
    </w:p>
    <w:p>
      <w:pPr>
        <w:pStyle w:val="Heading1"/>
      </w:pPr>
      <w:r>
        <w:t>8. Corrections after filing</w:t>
      </w:r>
    </w:p>
    <w:p>
      <w:r>
        <w:t>A paper is corrected only by whoever issued or signed it: a supplier for its own invoices, statements and credit notes, the sales office for the sales invoices it issues, the purchase ledger for the debit notes it raises, and the person who signed a report for that report. The latest correction from that source stands, whether it reaches the office as a re-issued paper, a letter, a mail or a message, and whether or not the paper on file has been replaced. A re-issued credit note is accepted afresh under section 4. Anyone else's account of what a paper says, or should say, corrects nothing.</w:t>
      </w:r>
    </w:p>
    <w:p>
      <w:pPr>
        <w:pStyle w:val="Heading1"/>
      </w:pPr>
      <w:r>
        <w:t>Appendix A. Handling charge per plant</w:t>
      </w:r>
    </w:p>
    <w:tbl>
      <w:tblPr>
        <w:tblStyle w:val="TableGrid"/>
        <w:tblW w:type="auto" w:w="0"/>
        <w:tblLook w:firstColumn="1" w:firstRow="1" w:lastColumn="0" w:lastRow="0" w:noHBand="0" w:noVBand="1" w:val="04A0"/>
      </w:tblPr>
      <w:tblGrid>
        <w:gridCol w:w="4320"/>
        <w:gridCol w:w="4320"/>
      </w:tblGrid>
      <w:tr>
        <w:tc>
          <w:tcPr>
            <w:tcW w:type="dxa" w:w="4320"/>
          </w:tcPr>
          <w:p>
            <w:r>
              <w:t>Lots received</w:t>
            </w:r>
          </w:p>
        </w:tc>
        <w:tc>
          <w:tcPr>
            <w:tcW w:type="dxa" w:w="4320"/>
          </w:tcPr>
          <w:p>
            <w:r>
              <w:t>Handling charge</w:t>
            </w:r>
          </w:p>
        </w:tc>
      </w:tr>
      <w:tr>
        <w:tc>
          <w:tcPr>
            <w:tcW w:type="dxa" w:w="4320"/>
          </w:tcPr>
          <w:p>
            <w:r>
              <w:t>Before 2027-04-01</w:t>
            </w:r>
          </w:p>
        </w:tc>
        <w:tc>
          <w:tcPr>
            <w:tcW w:type="dxa" w:w="4320"/>
          </w:tcPr>
          <w:p>
            <w:r>
              <w:t>0.30</w:t>
            </w:r>
          </w:p>
        </w:tc>
      </w:tr>
      <w:tr>
        <w:tc>
          <w:tcPr>
            <w:tcW w:type="dxa" w:w="4320"/>
          </w:tcPr>
          <w:p>
            <w:r>
              <w:t>On or after 2027-04-01</w:t>
            </w:r>
          </w:p>
        </w:tc>
        <w:tc>
          <w:tcPr>
            <w:tcW w:type="dxa" w:w="4320"/>
          </w:tcPr>
          <w:p>
            <w:r>
              <w:t>0.45</w:t>
            </w:r>
          </w:p>
        </w:tc>
      </w:tr>
    </w:tbl>
    <w:p>
      <w:pPr>
        <w:pStyle w:val="Heading1"/>
      </w:pPr>
      <w:r>
        <w:t>Appendix B. Purchase ledger approvers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Initials</w:t>
            </w:r>
          </w:p>
        </w:tc>
        <w:tc>
          <w:tcPr>
            <w:tcW w:type="dxa" w:w="2160"/>
          </w:tcPr>
          <w:p>
            <w:r>
              <w:t>Name</w:t>
            </w:r>
          </w:p>
        </w:tc>
        <w:tc>
          <w:tcPr>
            <w:tcW w:type="dxa" w:w="2160"/>
          </w:tcPr>
          <w:p>
            <w:r>
              <w:t>On the register from</w:t>
            </w:r>
          </w:p>
        </w:tc>
        <w:tc>
          <w:tcPr>
            <w:tcW w:type="dxa" w:w="2160"/>
          </w:tcPr>
          <w:p>
            <w:r>
              <w:t>Removed from the register</w:t>
            </w:r>
          </w:p>
        </w:tc>
      </w:tr>
      <w:tr>
        <w:tc>
          <w:tcPr>
            <w:tcW w:type="dxa" w:w="2160"/>
          </w:tcPr>
          <w:p>
            <w:r>
              <w:t>MO</w:t>
            </w:r>
          </w:p>
        </w:tc>
        <w:tc>
          <w:tcPr>
            <w:tcW w:type="dxa" w:w="2160"/>
          </w:tcPr>
          <w:p>
            <w:r>
              <w:t>M. Okafor</w:t>
            </w:r>
          </w:p>
        </w:tc>
        <w:tc>
          <w:tcPr>
            <w:tcW w:type="dxa" w:w="2160"/>
          </w:tcPr>
          <w:p>
            <w:r>
              <w:t>2024-06-01</w:t>
            </w:r>
          </w:p>
        </w:tc>
        <w:tc>
          <w:tcPr>
            <w:tcW w:type="dxa" w:w="2160"/>
          </w:tcPr>
          <w:p>
            <w:r/>
          </w:p>
        </w:tc>
      </w:tr>
      <w:tr>
        <w:tc>
          <w:tcPr>
            <w:tcW w:type="dxa" w:w="2160"/>
          </w:tcPr>
          <w:p>
            <w:r>
              <w:t>SL</w:t>
            </w:r>
          </w:p>
        </w:tc>
        <w:tc>
          <w:tcPr>
            <w:tcW w:type="dxa" w:w="2160"/>
          </w:tcPr>
          <w:p>
            <w:r>
              <w:t>S. Lindgren</w:t>
            </w:r>
          </w:p>
        </w:tc>
        <w:tc>
          <w:tcPr>
            <w:tcW w:type="dxa" w:w="2160"/>
          </w:tcPr>
          <w:p>
            <w:r>
              <w:t>2025-02-10</w:t>
            </w:r>
          </w:p>
        </w:tc>
        <w:tc>
          <w:tcPr>
            <w:tcW w:type="dxa" w:w="2160"/>
          </w:tcPr>
          <w:p>
            <w:r/>
          </w:p>
        </w:tc>
      </w:tr>
      <w:tr>
        <w:tc>
          <w:tcPr>
            <w:tcW w:type="dxa" w:w="2160"/>
          </w:tcPr>
          <w:p>
            <w:r>
              <w:t>DR</w:t>
            </w:r>
          </w:p>
        </w:tc>
        <w:tc>
          <w:tcPr>
            <w:tcW w:type="dxa" w:w="2160"/>
          </w:tcPr>
          <w:p>
            <w:r>
              <w:t>D. Rourke</w:t>
            </w:r>
          </w:p>
        </w:tc>
        <w:tc>
          <w:tcPr>
            <w:tcW w:type="dxa" w:w="2160"/>
          </w:tcPr>
          <w:p>
            <w:r>
              <w:t>2021-09-01</w:t>
            </w:r>
          </w:p>
        </w:tc>
        <w:tc>
          <w:tcPr>
            <w:tcW w:type="dxa" w:w="2160"/>
          </w:tcPr>
          <w:p>
            <w:r>
              <w:t>2027-03-31</w:t>
            </w:r>
          </w:p>
        </w:tc>
      </w:tr>
      <w:tr>
        <w:tc>
          <w:tcPr>
            <w:tcW w:type="dxa" w:w="2160"/>
          </w:tcPr>
          <w:p>
            <w:r>
              <w:t>HV</w:t>
            </w:r>
          </w:p>
        </w:tc>
        <w:tc>
          <w:tcPr>
            <w:tcW w:type="dxa" w:w="2160"/>
          </w:tcPr>
          <w:p>
            <w:r>
              <w:t>H. Varga</w:t>
            </w:r>
          </w:p>
        </w:tc>
        <w:tc>
          <w:tcPr>
            <w:tcW w:type="dxa" w:w="2160"/>
          </w:tcPr>
          <w:p>
            <w:r>
              <w:t>2027-04-15</w:t>
            </w:r>
          </w:p>
        </w:tc>
        <w:tc>
          <w:tcPr>
            <w:tcW w:type="dxa" w:w="2160"/>
          </w:tcPr>
          <w:p>
            <w:r/>
          </w:p>
        </w:tc>
      </w:tr>
    </w:tbl>
    <w:p>
      <w:r>
        <w:t xml:space="preserve">An issuer correction to a sales credit may amend the returned quantity. It must identify the credit, original sale and customer and be issued by the sales office identified in the desk note. The latest such correction replaces the printed quantity, retaining the original return event time and FIFO cost basis. A customer recollection does not amend an issued credit.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TN-FIN-04 second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TN-FIN-04 Stock costing standard, second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