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WDC-AL-02 Allotment lettings policy, first edition</w:t>
      </w:r>
    </w:p>
    <w:p>
      <w:r>
        <w:rPr>
          <w:i/>
        </w:rPr>
        <w:t>First edition, 2024-01-22. SUPERSEDED by the second edition for rounds held on or after 2026-10-01.</w:t>
      </w:r>
    </w:p>
    <w:p>
      <w:r>
        <w:t>Plots are offered in plot-reference order to applicants in list-date order; bands are not used. Any applicant may take a raised-bed plot. An applicant who declines three offers goes to the bottom of the list. There is no household area limit. Rent is the flat annual charge on the schedule of charges.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WDC-AL-02 first edition (superseded)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WDC-AL-02 Allotment lettings policy, first edition</dc:title>
  <dc:subject/>
  <dc:creator>records</dc:creator>
  <cp:keywords/>
  <dc:description>generated by python-docx</dc:description>
  <cp:lastModifiedBy/>
  <cp:revision>1</cp:revision>
  <dcterms:created xsi:type="dcterms:W3CDTF">2013-12-23T23:15:00Z</dcterms:created>
  <dcterms:modified xsi:type="dcterms:W3CDTF">2013-12-23T23:15:00Z</dcterms:modified>
  <cp:category/>
</cp:coreProperties>
</file>