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WDC-AL-02 Allotment lettings policy, second edition</w:t>
      </w:r>
    </w:p>
    <w:p>
      <w:r>
        <w:t>Second edition. Adopted by the Parks Committee on 2026-09-15. In force for every lettings round held on or after 2026-10-01; the first edition no longer applies to any of them.</w:t>
      </w:r>
    </w:p>
    <w:p>
      <w:pPr>
        <w:pStyle w:val="Heading1"/>
      </w:pPr>
      <w:r>
        <w:t>1. Who is on the list</w:t>
      </w:r>
    </w:p>
    <w:p>
      <w:r>
        <w:t>An applicant is on the list on the day of the round unless the waiting-list change log shows them LAPSED or WITHDRAWN. The change log is the record of status and address: events are taken in EVENT TIME order and the latest event by event time speaks, whatever order the entries reached the desk. The status column of the base is not maintained and does not decide anything. Where two references belong to one household (household register), the household holds one place on the list, under the reference with the earlier list date; the later reference is removed from the round and an exception is raised for it. A request to come off the list made in writing by any channel (letter, email or message) takes effect on the day it is received, whether or not the change log has caught up with it. An applicant transferred from the parish council's list keeps the list date the parish recorded.</w:t>
      </w:r>
    </w:p>
    <w:p>
      <w:pPr>
        <w:pStyle w:val="Heading1"/>
      </w:pPr>
      <w:r>
        <w:t>2. Order of the list</w:t>
      </w:r>
    </w:p>
    <w:p>
      <w:r>
        <w:t>Applicants are ranked by band, then by list date (earliest first), then by applicant reference. Band A: an accessibility need shown by an assessment certificate whose verifying officer appears in Appendix D for the day it was signed. A certificate nobody signed, or one signed by someone outside Appendix D on that day, leaves the applicant out of band A, and an exception is raised for them. Band B: the applicant's address on the day of the round (latest ADDRESS CHANGED event by event time, otherwise the base) is in a postcode district listed in Appendix B. Band C: everyone else. The band an applicant claimed on their form does not decide their band.</w:t>
      </w:r>
    </w:p>
    <w:p>
      <w:pPr>
        <w:pStyle w:val="Heading1"/>
      </w:pPr>
      <w:r>
        <w:t>3. Running the round</w:t>
      </w:r>
    </w:p>
    <w:p>
      <w:r>
        <w:t>Vacant plots are offered one at a time, in the order they fell vacant (vacated date, then plot reference). A plot that falls vacant while the round's vacancies are being counted, including by a notice to quit, takes its place in that order by the date it fell vacant. Each plot is offered to the highest-ranked applicant still waiting who (a) accepts the plot's site on their standing instructions, (b) has not already been let a plot in this round, and (c) would stay within the household area limit in Appendix C with this plot added to whatever the household already holds. Raised-bed plots are offered to band A applicants only; if no band A applicant takes one, it is held for accessible letting. A tenancy surrendered in writing ends on the date the tenant gives: from that date the plot is vacant and joins the round in vacated-date order, and the household no longer holds it for the area limit, so the limit is tested against what the household holds on the date the offered plot fell vacant.</w:t>
      </w:r>
    </w:p>
    <w:p>
      <w:r>
        <w:t>An applicant whose standing instructions say they need water declines any plot without a water trough. A declined offer passes to the next applicant in order. Standing instructions are those on the applicant preferences export as changed since by the applicant in writing (any channel); the latest written change before the round counts. The site plans show troughs as last surveyed; a trough put in or taken out since, confirmed in writing by the estates team, counts from the date it was done. On a second decline in the same round, the applicant moves to the bottom of their band for the rest of the round. A plot no applicant takes is left vacant. A plot under an environmental notice on the site plan is withdrawn from letting, and so is a plot the site warden reports unfit to let on its handback inspection record, including in a comment the warden adds to that record. Every plot on a site the parks works calendar shows closed for works on the first day of the tenancy year is withdrawn from letting; the works calendar is the record of site works, and a works notice only announces them.</w:t>
      </w:r>
    </w:p>
    <w:p>
      <w:pPr>
        <w:pStyle w:val="Heading1"/>
      </w:pPr>
      <w:r>
        <w:t>4. Register headings</w:t>
      </w:r>
    </w:p>
    <w:p>
      <w:r>
        <w:t>Every vacant plot has exactly one line in the lettings register, under one of these headings, in these words: Let for 2027; Vacant - no taker; Held for accessible letting; Withdrawn from letting. A line carries the applicant reference and the 2027 rent only when it is headed Let for 2027; every other line carries no applicant and 0.00. If a plot is missing from the register a line is opened for it, and if it appears twice the duplicate is deleted.</w:t>
      </w:r>
    </w:p>
    <w:p>
      <w:pPr>
        <w:pStyle w:val="Heading1"/>
      </w:pPr>
      <w:r>
        <w:t>5. Exceptions</w:t>
      </w:r>
    </w:p>
    <w:p>
      <w:r>
        <w:t>The exceptions ledger lists what is still outstanding. Once the evidence an item was waiting for shows as verified in the evidence log, the item comes off. Sums owed follow the income team's most recent statement. Fresh items go in as 'Priority evidence not valid' or 'Duplicate application'; anything else outstanding is left untouched.</w:t>
      </w:r>
    </w:p>
    <w:p>
      <w:pPr>
        <w:pStyle w:val="Heading1"/>
      </w:pPr>
      <w:r>
        <w:t>Appendix B. Postcode districts in Wexcombe</w:t>
      </w:r>
    </w:p>
    <w:tbl>
      <w:tblPr>
        <w:tblStyle w:val="TableGrid"/>
        <w:tblW w:type="auto" w:w="0"/>
        <w:tblLook w:firstColumn="1" w:firstRow="1" w:lastColumn="0" w:lastRow="0" w:noHBand="0" w:noVBand="1" w:val="04A0"/>
      </w:tblPr>
      <w:tblGrid>
        <w:gridCol w:w="8640"/>
      </w:tblGrid>
      <w:tr>
        <w:tc>
          <w:tcPr>
            <w:tcW w:type="dxa" w:w="8640"/>
          </w:tcPr>
          <w:p>
            <w:r>
              <w:t>District</w:t>
            </w:r>
          </w:p>
        </w:tc>
      </w:tr>
      <w:tr>
        <w:tc>
          <w:tcPr>
            <w:tcW w:type="dxa" w:w="8640"/>
          </w:tcPr>
          <w:p>
            <w:r>
              <w:t>WX1</w:t>
            </w:r>
          </w:p>
        </w:tc>
      </w:tr>
      <w:tr>
        <w:tc>
          <w:tcPr>
            <w:tcW w:type="dxa" w:w="8640"/>
          </w:tcPr>
          <w:p>
            <w:r>
              <w:t>WX2</w:t>
            </w:r>
          </w:p>
        </w:tc>
      </w:tr>
      <w:tr>
        <w:tc>
          <w:tcPr>
            <w:tcW w:type="dxa" w:w="8640"/>
          </w:tcPr>
          <w:p>
            <w:r>
              <w:t>WX3</w:t>
            </w:r>
          </w:p>
        </w:tc>
      </w:tr>
      <w:tr>
        <w:tc>
          <w:tcPr>
            <w:tcW w:type="dxa" w:w="8640"/>
          </w:tcPr>
          <w:p>
            <w:r>
              <w:t>WX4</w:t>
            </w:r>
          </w:p>
        </w:tc>
      </w:tr>
      <w:tr>
        <w:tc>
          <w:tcPr>
            <w:tcW w:type="dxa" w:w="8640"/>
          </w:tcPr>
          <w:p>
            <w:r>
              <w:t>WX5</w:t>
            </w:r>
          </w:p>
        </w:tc>
      </w:tr>
      <w:tr>
        <w:tc>
          <w:tcPr>
            <w:tcW w:type="dxa" w:w="8640"/>
          </w:tcPr>
          <w:p>
            <w:r>
              <w:t>WX6</w:t>
            </w:r>
          </w:p>
        </w:tc>
      </w:tr>
    </w:tbl>
    <w:p>
      <w:pPr>
        <w:pStyle w:val="Heading1"/>
      </w:pPr>
      <w:r>
        <w:t>Appendix C. Household area limit</w:t>
      </w:r>
    </w:p>
    <w:tbl>
      <w:tblPr>
        <w:tblStyle w:val="TableGrid"/>
        <w:tblW w:type="auto" w:w="0"/>
        <w:tblLook w:firstColumn="1" w:firstRow="1" w:lastColumn="0" w:lastRow="0" w:noHBand="0" w:noVBand="1" w:val="04A0"/>
      </w:tblPr>
      <w:tblGrid>
        <w:gridCol w:w="4320"/>
        <w:gridCol w:w="4320"/>
      </w:tblGrid>
      <w:tr>
        <w:tc>
          <w:tcPr>
            <w:tcW w:type="dxa" w:w="4320"/>
          </w:tcPr>
          <w:p>
            <w:r>
              <w:t>Rule</w:t>
            </w:r>
          </w:p>
        </w:tc>
        <w:tc>
          <w:tcPr>
            <w:tcW w:type="dxa" w:w="4320"/>
          </w:tcPr>
          <w:p>
            <w:r>
              <w:t>Value</w:t>
            </w:r>
          </w:p>
        </w:tc>
      </w:tr>
      <w:tr>
        <w:tc>
          <w:tcPr>
            <w:tcW w:type="dxa" w:w="4320"/>
          </w:tcPr>
          <w:p>
            <w:r>
              <w:t>Total area a household may hold across all plots</w:t>
            </w:r>
          </w:p>
        </w:tc>
        <w:tc>
          <w:tcPr>
            <w:tcW w:type="dxa" w:w="4320"/>
          </w:tcPr>
          <w:p>
            <w:r>
              <w:t>300 m²</w:t>
            </w:r>
          </w:p>
        </w:tc>
      </w:tr>
    </w:tbl>
    <w:p>
      <w:pPr>
        <w:pStyle w:val="Heading1"/>
      </w:pPr>
      <w:r>
        <w:t>Appendix D. Verifying officers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Code</w:t>
            </w:r>
          </w:p>
        </w:tc>
        <w:tc>
          <w:tcPr>
            <w:tcW w:type="dxa" w:w="2160"/>
          </w:tcPr>
          <w:p>
            <w:r>
              <w:t>Officer</w:t>
            </w:r>
          </w:p>
        </w:tc>
        <w:tc>
          <w:tcPr>
            <w:tcW w:type="dxa" w:w="2160"/>
          </w:tcPr>
          <w:p>
            <w:r>
              <w:t>Listed from</w:t>
            </w:r>
          </w:p>
        </w:tc>
        <w:tc>
          <w:tcPr>
            <w:tcW w:type="dxa" w:w="2160"/>
          </w:tcPr>
          <w:p>
            <w:r>
              <w:t>Delisted on</w:t>
            </w:r>
          </w:p>
        </w:tc>
      </w:tr>
      <w:tr>
        <w:tc>
          <w:tcPr>
            <w:tcW w:type="dxa" w:w="2160"/>
          </w:tcPr>
          <w:p>
            <w:r>
              <w:t>RS</w:t>
            </w:r>
          </w:p>
        </w:tc>
        <w:tc>
          <w:tcPr>
            <w:tcW w:type="dxa" w:w="2160"/>
          </w:tcPr>
          <w:p>
            <w:r>
              <w:t>R. Sandhu</w:t>
            </w:r>
          </w:p>
        </w:tc>
        <w:tc>
          <w:tcPr>
            <w:tcW w:type="dxa" w:w="2160"/>
          </w:tcPr>
          <w:p>
            <w:r>
              <w:t>2024-02-01</w:t>
            </w:r>
          </w:p>
        </w:tc>
        <w:tc>
          <w:tcPr>
            <w:tcW w:type="dxa" w:w="2160"/>
          </w:tcPr>
          <w:p>
            <w:r/>
          </w:p>
        </w:tc>
      </w:tr>
      <w:tr>
        <w:tc>
          <w:tcPr>
            <w:tcW w:type="dxa" w:w="2160"/>
          </w:tcPr>
          <w:p>
            <w:r>
              <w:t>JT</w:t>
            </w:r>
          </w:p>
        </w:tc>
        <w:tc>
          <w:tcPr>
            <w:tcW w:type="dxa" w:w="2160"/>
          </w:tcPr>
          <w:p>
            <w:r>
              <w:t>J. Tolley</w:t>
            </w:r>
          </w:p>
        </w:tc>
        <w:tc>
          <w:tcPr>
            <w:tcW w:type="dxa" w:w="2160"/>
          </w:tcPr>
          <w:p>
            <w:r>
              <w:t>2025-06-01</w:t>
            </w:r>
          </w:p>
        </w:tc>
        <w:tc>
          <w:tcPr>
            <w:tcW w:type="dxa" w:w="2160"/>
          </w:tcPr>
          <w:p>
            <w:r/>
          </w:p>
        </w:tc>
      </w:tr>
      <w:tr>
        <w:tc>
          <w:tcPr>
            <w:tcW w:type="dxa" w:w="2160"/>
          </w:tcPr>
          <w:p>
            <w:r>
              <w:t>KB</w:t>
            </w:r>
          </w:p>
        </w:tc>
        <w:tc>
          <w:tcPr>
            <w:tcW w:type="dxa" w:w="2160"/>
          </w:tcPr>
          <w:p>
            <w:r>
              <w:t>K. Bellamy</w:t>
            </w:r>
          </w:p>
        </w:tc>
        <w:tc>
          <w:tcPr>
            <w:tcW w:type="dxa" w:w="2160"/>
          </w:tcPr>
          <w:p>
            <w:r>
              <w:t>2022-01-10</w:t>
            </w:r>
          </w:p>
        </w:tc>
        <w:tc>
          <w:tcPr>
            <w:tcW w:type="dxa" w:w="2160"/>
          </w:tcPr>
          <w:p>
            <w:r>
              <w:t>2026-08-31</w:t>
            </w:r>
          </w:p>
        </w:tc>
      </w:tr>
      <w:tr>
        <w:tc>
          <w:tcPr>
            <w:tcW w:type="dxa" w:w="2160"/>
          </w:tcPr>
          <w:p>
            <w:r>
              <w:t>LM</w:t>
            </w:r>
          </w:p>
        </w:tc>
        <w:tc>
          <w:tcPr>
            <w:tcW w:type="dxa" w:w="2160"/>
          </w:tcPr>
          <w:p>
            <w:r>
              <w:t>L. Moyo</w:t>
            </w:r>
          </w:p>
        </w:tc>
        <w:tc>
          <w:tcPr>
            <w:tcW w:type="dxa" w:w="2160"/>
          </w:tcPr>
          <w:p>
            <w:r>
              <w:t>2026-09-15</w:t>
            </w:r>
          </w:p>
        </w:tc>
        <w:tc>
          <w:tcPr>
            <w:tcW w:type="dxa" w:w="2160"/>
          </w:tcPr>
          <w:p>
            <w:r/>
          </w:p>
        </w:tc>
      </w:tr>
    </w:tbl>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WDC-AL-02 second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WDC-AL-02 Allotment lettings policy, second edition</dc:title>
  <dc:subject/>
  <dc:creator>records</dc:creator>
  <cp:keywords/>
  <dc:description>generated by python-docx</dc:description>
  <cp:lastModifiedBy/>
  <cp:revision>1</cp:revision>
  <dcterms:created xsi:type="dcterms:W3CDTF">2013-12-23T23:15:00Z</dcterms:created>
  <dcterms:modified xsi:type="dcterms:W3CDTF">2013-12-23T23:15:00Z</dcterms:modified>
  <cp:category/>
</cp:coreProperties>
</file>