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Aids and adaptations - a guide</w:t>
      </w:r>
    </w:p>
    <w:p>
      <w:pPr>
        <w:pStyle w:val="Normal"/>
      </w:pPr>
      <w:r>
        <w:t xml:space="preserve">Minor adaptations such as grab rails and lever taps are fitted free of charge, usually within 20 working days.</w:t>
      </w:r>
    </w:p>
    <w:p>
      <w:pPr>
        <w:pStyle w:val="Normal"/>
      </w:pPr>
      <w:r>
        <w:t xml:space="preserve">Major adaptations such as level-access showers need an occupational therapist's assessment from Wyndale Council.</w:t>
      </w:r>
    </w:p>
    <w:p>
      <w:pPr>
        <w:pStyle w:val="Normal"/>
      </w:pPr>
      <w:r>
        <w:t xml:space="preserve">Ask your housing officer if you are not sure which applies to you.</w:t>
      </w:r>
    </w:p>
    <w:sectPr/>
  </w:body>
</w:document>
</file>