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Board report extract - repairs performance, July to September 2026</w:t>
      </w:r>
    </w:p>
    <w:p>
      <w:pPr>
        <w:pStyle w:val="Normal"/>
      </w:pPr>
      <w:r>
        <w:t xml:space="preserve">Repairs completed: 1,214. Completed within target: 88.6 per cent (emergency 97.1, urgent 86.0, routine 87.9).</w:t>
      </w:r>
    </w:p>
    <w:p>
      <w:pPr>
        <w:pStyle w:val="Normal"/>
      </w:pPr>
      <w:r>
        <w:t xml:space="preserve">Appointments kept: 94.2 per cent.</w:t>
      </w:r>
    </w:p>
    <w:p>
      <w:pPr>
        <w:pStyle w:val="Normal"/>
      </w:pPr>
      <w:r>
        <w:t xml:space="preserve">Repairs compensation paid in the quarter: 96 awards.</w:t>
      </w:r>
    </w:p>
    <w:p>
      <w:pPr>
        <w:pStyle w:val="Normal"/>
      </w:pPr>
      <w:r>
        <w:t xml:space="preserve">Tenant satisfaction with the last repair: 81 per cent.</w:t>
      </w:r>
    </w:p>
    <w:p>
      <w:pPr>
        <w:pStyle w:val="Normal"/>
      </w:pPr>
      <w:r>
        <w:t xml:space="preserve">The board asked for the worst-performing contractor on missed appointments to be named in the monthly figures.</w:t>
      </w:r>
    </w:p>
    <w:sectPr/>
  </w:body>
</w:document>
</file>