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Your rent for 2026-27</w:t>
      </w:r>
    </w:p>
    <w:p>
      <w:pPr>
        <w:pStyle w:val="Normal"/>
      </w:pPr>
      <w:r>
        <w:t xml:space="preserve">Dear tenant, from Monday 6 April 2026 your weekly rent rises by 4.8 per cent, in line with the government's rent standard.</w:t>
      </w:r>
    </w:p>
    <w:p>
      <w:pPr>
        <w:pStyle w:val="Normal"/>
      </w:pPr>
      <w:r>
        <w:t xml:space="preserve">Service charges for communal cleaning and lighting are shown separately on your rent statement.</w:t>
      </w:r>
    </w:p>
    <w:p>
      <w:pPr>
        <w:pStyle w:val="Normal"/>
      </w:pPr>
      <w:r>
        <w:t xml:space="preserve">If you are worried about paying, please speak to the Income team: there is help available.</w:t>
      </w:r>
    </w:p>
    <w:sectPr/>
  </w:body>
</w:document>
</file>