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Thornbeck Homes Repairs Service Standard - 4th edition</w:t>
      </w:r>
    </w:p>
    <w:p>
      <w:pPr>
        <w:pStyle w:val="Normal"/>
      </w:pPr>
      <w:r>
        <w:t xml:space="preserve">Approved by the Thornbeck Homes board on 19 March 2026. In force for every repair completed on or after 1 April 2026. It replaces the 3rd edition (2024) in full.</w:t>
      </w:r>
    </w:p>
    <w:p>
      <w:pPr>
        <w:pStyle w:val="Heading2"/>
      </w:pPr>
      <w:r>
        <w:t xml:space="preserve">1. What this standard is for</w:t>
      </w:r>
    </w:p>
    <w:p>
      <w:pPr>
        <w:pStyle w:val="Normal"/>
      </w:pPr>
      <w:r>
        <w:t xml:space="preserve">It sets the times within which we complete repairs to our tenants' homes, what we pay when we do not, and how we decide each case. It is applied once a month, in the compensation run, to the jobs completed in the previous calendar month.</w:t>
      </w:r>
    </w:p>
    <w:p>
      <w:pPr>
        <w:pStyle w:val="Heading2"/>
      </w:pPr>
      <w:r>
        <w:t xml:space="preserve">2. Words used in this standard</w:t>
      </w:r>
    </w:p>
    <w:p>
      <w:pPr>
        <w:pStyle w:val="Normal"/>
      </w:pPr>
      <w:r>
        <w:t xml:space="preserve">"We" means Thornbeck Homes, including our in-house Direct Works team and every contractor working for us. A working day is Monday to Friday, other than a bank holiday in England. The channels we monitor for repair reports are: the repairs telephone line, the out-of-hours line (including its voicemail), the tenant portal, the repairs email address and the repairs WhatsApp line.</w:t>
      </w:r>
    </w:p>
    <w:p>
      <w:pPr>
        <w:pStyle w:val="Heading2"/>
      </w:pPr>
      <w:r>
        <w:t xml:space="preserve">3. Which repairs are covered</w:t>
      </w:r>
    </w:p>
    <w:p>
      <w:pPr>
        <w:pStyle w:val="Normal"/>
      </w:pPr>
      <w:r>
        <w:t xml:space="preserve">3.1 Repairs to the tenant's own home that we are responsible for under the tenancy.</w:t>
      </w:r>
    </w:p>
    <w:p>
      <w:pPr>
        <w:pStyle w:val="Normal"/>
      </w:pPr>
      <w:r>
        <w:t xml:space="preserve">3.2 Not covered: repairs to communal areas, which serve many households and attract no individual compensation; and recharge repairs, where the damage was caused by the tenant, their household or visitors. A job marked in the register as communal or as a recharge is assessed as no award.</w:t>
      </w:r>
    </w:p>
    <w:p>
      <w:pPr>
        <w:pStyle w:val="Heading2"/>
      </w:pPr>
      <w:r>
        <w:t xml:space="preserve">4. When the clock starts</w:t>
      </w:r>
    </w:p>
    <w:p>
      <w:pPr>
        <w:pStyle w:val="Normal"/>
      </w:pPr>
      <w:r>
        <w:t xml:space="preserve">4.1 The clock starts on the day the tenant first reported the defect to us through any channel we monitor, even if the job was keyed into the planner later. The reported date in the repair register is the day the job was keyed, so where a tenant's earlier report through a monitored channel exists, that earlier day is the start of the clock.</w:t>
      </w:r>
    </w:p>
    <w:p>
      <w:pPr>
        <w:pStyle w:val="Normal"/>
      </w:pPr>
      <w:r>
        <w:t xml:space="preserve">4.2 A report counts when it comes from the tenant (or their household) about the same defect in their own home.</w:t>
      </w:r>
    </w:p>
    <w:p>
      <w:pPr>
        <w:pStyle w:val="Heading2"/>
      </w:pPr>
      <w:r>
        <w:t xml:space="preserve">5. Target times and late completion</w:t>
      </w:r>
    </w:p>
    <w:p>
      <w:pPr>
        <w:pStyle w:val="Normal"/>
      </w:pPr>
      <w:r>
        <w:t xml:space="preserve">5.1 Emergency repairs must be completed within 24 hours: by the end of the calendar day after the clock starts, weekends and bank holidays included.</w:t>
      </w:r>
    </w:p>
    <w:p>
      <w:pPr>
        <w:pStyle w:val="Normal"/>
      </w:pPr>
      <w:r>
        <w:t xml:space="preserve">5.2 Urgent repairs must be completed by the 5th working day after the clock starts, and routine repairs by the 20th working day after the clock starts (the start day itself is not counted).</w:t>
      </w:r>
    </w:p>
    <w:p>
      <w:pPr>
        <w:pStyle w:val="Normal"/>
      </w:pPr>
      <w:r>
        <w:t xml:space="preserve">5.3 When a job is completed after its target, we pay GBP 10.00 once, plus GBP 2.00 for each day after the target up to and including the day the job was completed. Days are calendar days for emergency repairs and working days for urgent and routine repairs.</w:t>
      </w:r>
    </w:p>
    <w:p>
      <w:pPr>
        <w:pStyle w:val="Normal"/>
      </w:pPr>
      <w:r>
        <w:t xml:space="preserve">5.4 The late-completion part of an award never exceeds GBP 50.00 for one job.</w:t>
      </w:r>
    </w:p>
    <w:p>
      <w:pPr>
        <w:pStyle w:val="Heading2"/>
      </w:pPr>
      <w:r>
        <w:t xml:space="preserve">6. Appointments</w:t>
      </w:r>
    </w:p>
    <w:p>
      <w:pPr>
        <w:pStyle w:val="Normal"/>
      </w:pPr>
      <w:r>
        <w:t xml:space="preserve">6.1 A missed appointment is one where we did not attend a booked appointment, or cancelled it less than 24 hours before it was due. We pay GBP 15.00 for each missed appointment. This applies to Direct Works as much as to our contractors.</w:t>
      </w:r>
    </w:p>
    <w:p>
      <w:pPr>
        <w:pStyle w:val="Normal"/>
      </w:pPr>
      <w:r>
        <w:t xml:space="preserve">6.2 An appointment we cancelled with 24 hours' notice or more is not a missed appointment and does not change the target.</w:t>
      </w:r>
    </w:p>
    <w:p>
      <w:pPr>
        <w:pStyle w:val="Normal"/>
      </w:pPr>
      <w:r>
        <w:t xml:space="preserve">6.3 When the tenant cancels an appointment, or we attend and cannot get in (no access), it is not a missed appointment, and the target moves later by the number of working days after that appointment up to and including the day of the next appointment booked for the job.</w:t>
      </w:r>
    </w:p>
    <w:p>
      <w:pPr>
        <w:pStyle w:val="Heading2"/>
      </w:pPr>
      <w:r>
        <w:t xml:space="preserve">7. Limits</w:t>
      </w:r>
    </w:p>
    <w:p>
      <w:pPr>
        <w:pStyle w:val="Normal"/>
      </w:pPr>
      <w:r>
        <w:t xml:space="preserve">7.1 The total award for one job (late completion plus missed appointments) never exceeds GBP 80.00.</w:t>
      </w:r>
    </w:p>
    <w:p>
      <w:pPr>
        <w:pStyle w:val="Normal"/>
      </w:pPr>
      <w:r>
        <w:t xml:space="preserve">7.2 The award is made to the tenant named on the job. One award per job.</w:t>
      </w:r>
    </w:p>
    <w:p>
      <w:pPr>
        <w:pStyle w:val="Heading2"/>
      </w:pPr>
      <w:r>
        <w:t xml:space="preserve">8. How an award is paid</w:t>
      </w:r>
    </w:p>
    <w:p>
      <w:pPr>
        <w:pStyle w:val="Normal"/>
      </w:pPr>
      <w:r>
        <w:t xml:space="preserve">8.1 Awards are paid to the tenant's bank account by bank transfer.</w:t>
      </w:r>
    </w:p>
    <w:p>
      <w:pPr>
        <w:pStyle w:val="Normal"/>
      </w:pPr>
      <w:r>
        <w:t xml:space="preserve">8.2 Where the tenant's rent account is in arrears, the award is credited to the rent account instead. Use the most recent arrears list the Income team has circulated before the run; an earlier list is replaced by a later one.</w:t>
      </w:r>
    </w:p>
    <w:p>
      <w:pPr>
        <w:pStyle w:val="Normal"/>
      </w:pPr>
      <w:r>
        <w:t xml:space="preserve">8.3 Officers do not vary the payment route case by case.</w:t>
      </w:r>
    </w:p>
    <w:p>
      <w:pPr>
        <w:pStyle w:val="Heading2"/>
      </w:pPr>
      <w:r>
        <w:t xml:space="preserve">9. Evidence</w:t>
      </w:r>
    </w:p>
    <w:p>
      <w:pPr>
        <w:pStyle w:val="Normal"/>
      </w:pPr>
      <w:r>
        <w:t xml:space="preserve">9.1 A job is completed on the day the work was finished. For a contractor's job, that is the completion date on the contractor's signed return; until the return is posted the job is still open.</w:t>
      </w:r>
    </w:p>
    <w:p>
      <w:pPr>
        <w:pStyle w:val="Normal"/>
      </w:pPr>
      <w:r>
        <w:t xml:space="preserve">9.2 Where the contact centre recorded on the repair ticket, at the time, what happened to an appointment, that note governs over an outcome code keyed afterwards from a contractor's portal or by the planner.</w:t>
      </w:r>
    </w:p>
    <w:p>
      <w:pPr>
        <w:pStyle w:val="Normal"/>
      </w:pPr>
      <w:r>
        <w:t xml:space="preserve">9.3 For Direct Works appointments, read the planner together with Annex B (planner known issues).</w:t>
      </w:r>
    </w:p>
    <w:p>
      <w:pPr>
        <w:pStyle w:val="Heading2"/>
      </w:pPr>
      <w:r>
        <w:t xml:space="preserve">10. What this standard does not cover</w:t>
      </w:r>
    </w:p>
    <w:p>
      <w:pPr>
        <w:pStyle w:val="Normal"/>
      </w:pPr>
      <w:r>
        <w:t xml:space="preserve">Goodwill payments agreed when a complaint is upheld are made under the complaints policy, not in the compensation run. Damage to a tenant's belongings is a matter for our insurers.</w:t>
      </w:r>
    </w:p>
    <w:sectPr/>
  </w:body>
</w:document>
</file>