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Responsive repairs contract 2024-2027 - Schedule D: deductions</w:t>
      </w:r>
    </w:p>
    <w:p>
      <w:pPr>
        <w:pStyle w:val="Normal"/>
      </w:pPr>
      <w:r>
        <w:t xml:space="preserve">Applies to the contracts TBH-RR-2024-01 to TBH-RR-2024-04 (Marrick Plumbing &amp; Heating, Castleton Electrical Services, Ravensgill Building Maintenance, Kestle Roofing).</w:t>
      </w:r>
    </w:p>
    <w:p>
      <w:pPr>
        <w:pStyle w:val="Heading2"/>
      </w:pPr>
      <w:r>
        <w:t xml:space="preserve">D1. Missed appointments</w:t>
      </w:r>
    </w:p>
    <w:p>
      <w:pPr>
        <w:pStyle w:val="Normal"/>
      </w:pPr>
      <w:r>
        <w:t xml:space="preserve">For every appointment on one of the contractor's jobs that is counted as missed in Thornbeck's monthly compensation run, the contractor is recharged GBP 25.00 (the GBP 15.00 paid to the tenant and GBP 10.00 towards administration). This includes appointments the contractor cancelled with less than 24 hours' notice.</w:t>
      </w:r>
    </w:p>
    <w:p>
      <w:pPr>
        <w:pStyle w:val="Heading2"/>
      </w:pPr>
      <w:r>
        <w:t xml:space="preserve">D2. How recharges are raised</w:t>
      </w:r>
    </w:p>
    <w:p>
      <w:pPr>
        <w:pStyle w:val="Normal"/>
      </w:pPr>
      <w:r>
        <w:t xml:space="preserve">Thornbeck raises one recharge per missed appointment in the run and tells each contractor, in one email to its accounts address, which appointments are recharged and the total. The amount is deducted from the next monthly payment.</w:t>
      </w:r>
    </w:p>
    <w:p>
      <w:pPr>
        <w:pStyle w:val="Heading2"/>
      </w:pPr>
      <w:r>
        <w:t xml:space="preserve">D3. What is not recharged</w:t>
      </w:r>
    </w:p>
    <w:p>
      <w:pPr>
        <w:pStyle w:val="Normal"/>
      </w:pPr>
      <w:r>
        <w:t xml:space="preserve">Appointments the tenant cancelled, no-access visits and appointments cancelled with 24 hours' notice are not recharged. Late completion is managed through the key performance indicators in Schedule C, not by deduction. Direct Works is not party to this contract.</w:t>
      </w:r>
    </w:p>
    <w:sectPr/>
  </w:body>
</w:document>
</file>